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F664" w14:textId="6D5CBAFA" w:rsidR="00C13164" w:rsidRPr="00B41B3C" w:rsidRDefault="0003708E" w:rsidP="0022783C">
      <w:pPr>
        <w:spacing w:after="0" w:line="260" w:lineRule="exact"/>
        <w:rPr>
          <w:rFonts w:cstheme="minorHAnsi"/>
          <w:color w:val="000000"/>
        </w:rPr>
      </w:pPr>
      <w:r>
        <w:rPr>
          <w:rFonts w:cstheme="minorHAnsi"/>
          <w:color w:val="000000"/>
        </w:rPr>
        <w:t>August</w:t>
      </w:r>
      <w:r w:rsidR="009C425B">
        <w:rPr>
          <w:rFonts w:cstheme="minorHAnsi"/>
          <w:color w:val="000000"/>
        </w:rPr>
        <w:t xml:space="preserve"> 1</w:t>
      </w:r>
      <w:r w:rsidR="00810946">
        <w:rPr>
          <w:rFonts w:cstheme="minorHAnsi"/>
          <w:color w:val="000000"/>
        </w:rPr>
        <w:t>1</w:t>
      </w:r>
      <w:r w:rsidR="00C13164" w:rsidRPr="00B41B3C">
        <w:rPr>
          <w:rFonts w:cstheme="minorHAnsi"/>
          <w:color w:val="000000"/>
        </w:rPr>
        <w:t>, 202</w:t>
      </w:r>
      <w:r w:rsidR="00810946">
        <w:rPr>
          <w:rFonts w:cstheme="minorHAnsi"/>
          <w:color w:val="000000"/>
        </w:rPr>
        <w:t>5</w:t>
      </w:r>
    </w:p>
    <w:p w14:paraId="3BA84D32" w14:textId="77777777" w:rsidR="00C13164" w:rsidRPr="00B41B3C" w:rsidRDefault="00C13164" w:rsidP="0022783C">
      <w:pPr>
        <w:spacing w:after="0" w:line="260" w:lineRule="exact"/>
        <w:rPr>
          <w:rFonts w:cstheme="minorHAnsi"/>
          <w:color w:val="000000"/>
        </w:rPr>
      </w:pPr>
    </w:p>
    <w:p w14:paraId="0A044577" w14:textId="67A1DC0B" w:rsidR="00D41A7B" w:rsidRPr="00B41B3C" w:rsidRDefault="004A62BE" w:rsidP="00D41A7B">
      <w:pPr>
        <w:spacing w:after="0" w:line="260" w:lineRule="exact"/>
        <w:rPr>
          <w:rFonts w:cstheme="minorHAnsi"/>
          <w:color w:val="000000"/>
        </w:rPr>
      </w:pPr>
      <w:r w:rsidRPr="00B41B3C">
        <w:rPr>
          <w:rFonts w:cstheme="minorHAnsi"/>
          <w:b/>
          <w:bCs/>
          <w:color w:val="000000"/>
        </w:rPr>
        <w:t>To:</w:t>
      </w:r>
      <w:r w:rsidRPr="00B41B3C">
        <w:rPr>
          <w:rFonts w:cstheme="minorHAnsi"/>
          <w:color w:val="000000"/>
        </w:rPr>
        <w:t xml:space="preserve"> </w:t>
      </w:r>
      <w:r w:rsidR="00D41A7B" w:rsidRPr="00B41B3C">
        <w:rPr>
          <w:rFonts w:cstheme="minorHAnsi"/>
          <w:color w:val="000000"/>
        </w:rPr>
        <w:tab/>
        <w:t>Dale Bruggeman (MO), Chair, Statutory Accounting Principles (E) Working Group</w:t>
      </w:r>
    </w:p>
    <w:p w14:paraId="2892C883" w14:textId="77777777" w:rsidR="00DF44AA" w:rsidRDefault="00D41A7B" w:rsidP="00B9315C">
      <w:pPr>
        <w:spacing w:after="0" w:line="260" w:lineRule="exact"/>
        <w:ind w:firstLine="720"/>
        <w:rPr>
          <w:rFonts w:cstheme="minorHAnsi"/>
          <w:color w:val="000000"/>
        </w:rPr>
      </w:pPr>
      <w:r w:rsidRPr="00B41B3C">
        <w:rPr>
          <w:rFonts w:cstheme="minorHAnsi"/>
          <w:color w:val="000000"/>
        </w:rPr>
        <w:t>Kevin Clark, (IA), Vice Chair, Statutory Accounting Principles (E</w:t>
      </w:r>
      <w:r w:rsidR="00521767">
        <w:rPr>
          <w:rFonts w:cstheme="minorHAnsi"/>
          <w:color w:val="000000"/>
        </w:rPr>
        <w:t>)</w:t>
      </w:r>
      <w:r w:rsidRPr="00B41B3C">
        <w:rPr>
          <w:rFonts w:cstheme="minorHAnsi"/>
          <w:color w:val="000000"/>
        </w:rPr>
        <w:t xml:space="preserve"> Working Group</w:t>
      </w:r>
    </w:p>
    <w:p w14:paraId="25E80E7C" w14:textId="7A79AA9A" w:rsidR="003C6EA1" w:rsidRPr="00B41B3C" w:rsidRDefault="004A62BE" w:rsidP="00B9315C">
      <w:pPr>
        <w:spacing w:after="0" w:line="260" w:lineRule="exact"/>
        <w:ind w:firstLine="720"/>
        <w:rPr>
          <w:rFonts w:cstheme="minorHAnsi"/>
          <w:color w:val="000000"/>
        </w:rPr>
      </w:pPr>
      <w:r w:rsidRPr="00B41B3C">
        <w:rPr>
          <w:rFonts w:cstheme="minorHAnsi"/>
          <w:color w:val="000000"/>
        </w:rPr>
        <w:br/>
      </w:r>
      <w:r w:rsidRPr="00B41B3C">
        <w:rPr>
          <w:rFonts w:cstheme="minorHAnsi"/>
          <w:b/>
          <w:bCs/>
          <w:color w:val="000000"/>
        </w:rPr>
        <w:t>From:</w:t>
      </w:r>
      <w:r w:rsidRPr="00B41B3C">
        <w:rPr>
          <w:rFonts w:cstheme="minorHAnsi"/>
          <w:color w:val="000000"/>
        </w:rPr>
        <w:t xml:space="preserve"> </w:t>
      </w:r>
      <w:r w:rsidR="003C6EA1" w:rsidRPr="00B41B3C">
        <w:rPr>
          <w:rFonts w:cstheme="minorHAnsi"/>
          <w:color w:val="000000"/>
        </w:rPr>
        <w:tab/>
        <w:t>Rachel Hemphill (TX), Chair, Life Actuarial (A) Task Force,</w:t>
      </w:r>
    </w:p>
    <w:p w14:paraId="06B9241B" w14:textId="77777777" w:rsidR="003C6EA1" w:rsidRPr="00B41B3C" w:rsidRDefault="003C6EA1" w:rsidP="003C6EA1">
      <w:pPr>
        <w:spacing w:after="0" w:line="260" w:lineRule="exact"/>
        <w:ind w:firstLine="720"/>
        <w:rPr>
          <w:rFonts w:cstheme="minorHAnsi"/>
          <w:color w:val="000000"/>
        </w:rPr>
      </w:pPr>
      <w:r w:rsidRPr="00B41B3C">
        <w:rPr>
          <w:rFonts w:cstheme="minorHAnsi"/>
          <w:color w:val="000000"/>
        </w:rPr>
        <w:t>Craig Chupp (VA), Vice Chair, Life Actuarial (A) Task Force</w:t>
      </w:r>
    </w:p>
    <w:p w14:paraId="7F9B0066" w14:textId="0B88AA5C" w:rsidR="004A62BE" w:rsidRPr="00B41B3C" w:rsidRDefault="004A62BE" w:rsidP="00354222">
      <w:pPr>
        <w:spacing w:after="0" w:line="260" w:lineRule="exact"/>
        <w:ind w:firstLine="720"/>
        <w:rPr>
          <w:rFonts w:cstheme="minorHAnsi"/>
          <w:color w:val="000000"/>
        </w:rPr>
      </w:pPr>
      <w:r w:rsidRPr="00B41B3C">
        <w:rPr>
          <w:rFonts w:cstheme="minorHAnsi"/>
          <w:color w:val="000000"/>
        </w:rPr>
        <w:br/>
      </w:r>
      <w:r w:rsidRPr="00B41B3C">
        <w:rPr>
          <w:rFonts w:cstheme="minorHAnsi"/>
          <w:b/>
          <w:bCs/>
          <w:color w:val="000000"/>
        </w:rPr>
        <w:t>RE:</w:t>
      </w:r>
      <w:r w:rsidRPr="00B41B3C">
        <w:rPr>
          <w:rFonts w:cstheme="minorHAnsi"/>
          <w:color w:val="000000"/>
        </w:rPr>
        <w:t xml:space="preserve"> </w:t>
      </w:r>
      <w:r w:rsidR="00354222" w:rsidRPr="00B41B3C">
        <w:rPr>
          <w:rFonts w:cstheme="minorHAnsi"/>
          <w:color w:val="000000"/>
        </w:rPr>
        <w:t>Life Actuarial (A) Task Force Coordination with the Statutory Accounting Principles (E) Working Group 202</w:t>
      </w:r>
      <w:r w:rsidR="001B2106">
        <w:rPr>
          <w:rFonts w:cstheme="minorHAnsi"/>
          <w:color w:val="000000"/>
        </w:rPr>
        <w:t>5</w:t>
      </w:r>
    </w:p>
    <w:p w14:paraId="786B4DC0" w14:textId="77777777" w:rsidR="004A62BE" w:rsidRPr="00B41B3C" w:rsidRDefault="004A62BE" w:rsidP="0022783C">
      <w:pPr>
        <w:spacing w:after="0" w:line="260" w:lineRule="exact"/>
        <w:rPr>
          <w:rFonts w:cstheme="minorHAnsi"/>
          <w:color w:val="000000"/>
        </w:rPr>
      </w:pPr>
    </w:p>
    <w:p w14:paraId="20870F97" w14:textId="3924E226" w:rsidR="00CF03E2" w:rsidRPr="00B41B3C" w:rsidRDefault="00CF03E2" w:rsidP="00885139">
      <w:pPr>
        <w:spacing w:after="0" w:line="280" w:lineRule="exact"/>
        <w:jc w:val="both"/>
        <w:rPr>
          <w:rFonts w:cstheme="minorHAnsi"/>
          <w:color w:val="000000"/>
        </w:rPr>
      </w:pPr>
      <w:r w:rsidRPr="00B41B3C">
        <w:rPr>
          <w:rFonts w:cstheme="minorHAnsi"/>
          <w:color w:val="000000"/>
        </w:rPr>
        <w:t xml:space="preserve">The Statutory Accounting Principles (E) Working Group charges requires the Working Group to coordinate with the Life Actuarial (A) Task Force on changes to the AP&amp;P Manual related to the </w:t>
      </w:r>
      <w:r w:rsidRPr="00C24A1F">
        <w:rPr>
          <w:rFonts w:cstheme="minorHAnsi"/>
          <w:i/>
          <w:iCs/>
          <w:color w:val="000000"/>
        </w:rPr>
        <w:t>Valuation Manual</w:t>
      </w:r>
      <w:r w:rsidRPr="00B41B3C">
        <w:rPr>
          <w:rFonts w:cstheme="minorHAnsi"/>
          <w:color w:val="000000"/>
        </w:rPr>
        <w:t xml:space="preserve"> </w:t>
      </w:r>
      <w:r w:rsidR="00411E19">
        <w:rPr>
          <w:rFonts w:cstheme="minorHAnsi"/>
          <w:color w:val="000000"/>
        </w:rPr>
        <w:t>(</w:t>
      </w:r>
      <w:r w:rsidRPr="00B41B3C">
        <w:rPr>
          <w:rFonts w:cstheme="minorHAnsi"/>
          <w:color w:val="000000"/>
        </w:rPr>
        <w:t>VM</w:t>
      </w:r>
      <w:r w:rsidR="00411E19">
        <w:rPr>
          <w:rFonts w:cstheme="minorHAnsi"/>
          <w:color w:val="000000"/>
        </w:rPr>
        <w:t>)</w:t>
      </w:r>
      <w:r w:rsidRPr="00B41B3C">
        <w:rPr>
          <w:rFonts w:cstheme="minorHAnsi"/>
          <w:color w:val="000000"/>
        </w:rPr>
        <w:t xml:space="preserve">-A, Requirements, and VM-C, Actuarial Guidelines, as well as other </w:t>
      </w:r>
      <w:r w:rsidR="00552043">
        <w:rPr>
          <w:rFonts w:cstheme="minorHAnsi"/>
          <w:color w:val="000000"/>
        </w:rPr>
        <w:t>VM</w:t>
      </w:r>
      <w:r w:rsidRPr="00B41B3C">
        <w:rPr>
          <w:rFonts w:cstheme="minorHAnsi"/>
          <w:color w:val="000000"/>
        </w:rPr>
        <w:t xml:space="preserve"> requirements. This process will include the receipt of periodic reports on changes to the </w:t>
      </w:r>
      <w:r w:rsidR="00552043">
        <w:rPr>
          <w:rFonts w:cstheme="minorHAnsi"/>
          <w:color w:val="000000"/>
        </w:rPr>
        <w:t>VM</w:t>
      </w:r>
      <w:r w:rsidRPr="00B41B3C">
        <w:rPr>
          <w:rFonts w:cstheme="minorHAnsi"/>
          <w:color w:val="000000"/>
        </w:rPr>
        <w:t xml:space="preserve"> on items that require coordination. To facilitate the coordination, the Task Force will provide to the Working Group a memorandum of </w:t>
      </w:r>
      <w:r w:rsidR="00552043">
        <w:rPr>
          <w:rFonts w:cstheme="minorHAnsi"/>
          <w:color w:val="000000"/>
        </w:rPr>
        <w:t>VM</w:t>
      </w:r>
      <w:r w:rsidRPr="00B41B3C">
        <w:rPr>
          <w:rFonts w:cstheme="minorHAnsi"/>
          <w:color w:val="000000"/>
        </w:rPr>
        <w:t xml:space="preserve"> amendments, actuarial guidelines and valuation related NAIC model revisions. This memorandum provides the Working Group updates to the publications since the 202</w:t>
      </w:r>
      <w:r w:rsidR="001B2106">
        <w:rPr>
          <w:rFonts w:cstheme="minorHAnsi"/>
          <w:color w:val="000000"/>
        </w:rPr>
        <w:t>4</w:t>
      </w:r>
      <w:r w:rsidRPr="00B41B3C">
        <w:rPr>
          <w:rFonts w:cstheme="minorHAnsi"/>
          <w:color w:val="000000"/>
        </w:rPr>
        <w:t xml:space="preserve"> NAIC </w:t>
      </w:r>
      <w:r w:rsidR="00F47A11">
        <w:rPr>
          <w:rFonts w:cstheme="minorHAnsi"/>
          <w:color w:val="000000"/>
        </w:rPr>
        <w:t>Summer</w:t>
      </w:r>
      <w:r w:rsidRPr="00B41B3C">
        <w:rPr>
          <w:rFonts w:cstheme="minorHAnsi"/>
          <w:color w:val="000000"/>
        </w:rPr>
        <w:t xml:space="preserve"> Meeting.</w:t>
      </w:r>
    </w:p>
    <w:p w14:paraId="786DE91F" w14:textId="77777777" w:rsidR="00CF03E2" w:rsidRPr="00B41B3C" w:rsidRDefault="00CF03E2" w:rsidP="00885139">
      <w:pPr>
        <w:spacing w:after="0" w:line="280" w:lineRule="exact"/>
        <w:jc w:val="both"/>
        <w:rPr>
          <w:rFonts w:cstheme="minorHAnsi"/>
          <w:color w:val="000000"/>
        </w:rPr>
      </w:pPr>
    </w:p>
    <w:p w14:paraId="2B953F3A" w14:textId="19C26306" w:rsidR="00CF03E2" w:rsidRDefault="00CF03E2" w:rsidP="00885139">
      <w:pPr>
        <w:spacing w:after="0" w:line="280" w:lineRule="exact"/>
        <w:jc w:val="both"/>
        <w:rPr>
          <w:rFonts w:cstheme="minorHAnsi"/>
          <w:color w:val="000000"/>
        </w:rPr>
      </w:pPr>
      <w:r w:rsidRPr="00B41B3C">
        <w:rPr>
          <w:rFonts w:cstheme="minorHAnsi"/>
          <w:b/>
          <w:bCs/>
          <w:color w:val="000000"/>
        </w:rPr>
        <w:t>Valuation Manual</w:t>
      </w:r>
      <w:r w:rsidRPr="00B41B3C">
        <w:rPr>
          <w:rFonts w:cstheme="minorHAnsi"/>
          <w:color w:val="000000"/>
        </w:rPr>
        <w:t xml:space="preserve"> – Attachment A to this memo includes a detailed listing of the amendments made to the </w:t>
      </w:r>
      <w:r w:rsidR="00C44434">
        <w:rPr>
          <w:rFonts w:cstheme="minorHAnsi"/>
          <w:color w:val="000000"/>
        </w:rPr>
        <w:t>VM</w:t>
      </w:r>
      <w:r w:rsidRPr="00B41B3C">
        <w:rPr>
          <w:rFonts w:cstheme="minorHAnsi"/>
          <w:color w:val="000000"/>
        </w:rPr>
        <w:t xml:space="preserve"> since the 202</w:t>
      </w:r>
      <w:r w:rsidR="00D665E4">
        <w:rPr>
          <w:rFonts w:cstheme="minorHAnsi"/>
          <w:color w:val="000000"/>
        </w:rPr>
        <w:t>4</w:t>
      </w:r>
      <w:r w:rsidRPr="00B41B3C">
        <w:rPr>
          <w:rFonts w:cstheme="minorHAnsi"/>
          <w:color w:val="000000"/>
        </w:rPr>
        <w:t xml:space="preserve"> NAIC Summer Meeting. The amendments were adopted by the Life Insurance and Annuities (A) Committee on </w:t>
      </w:r>
      <w:r w:rsidR="00772A4E">
        <w:rPr>
          <w:rFonts w:cstheme="minorHAnsi"/>
          <w:color w:val="000000"/>
        </w:rPr>
        <w:t>July</w:t>
      </w:r>
      <w:r w:rsidRPr="00B41B3C">
        <w:rPr>
          <w:rFonts w:cstheme="minorHAnsi"/>
          <w:color w:val="000000"/>
        </w:rPr>
        <w:t xml:space="preserve"> </w:t>
      </w:r>
      <w:r w:rsidR="00BB7FE3" w:rsidRPr="00B41B3C">
        <w:rPr>
          <w:rFonts w:cstheme="minorHAnsi"/>
          <w:color w:val="000000"/>
        </w:rPr>
        <w:t>1</w:t>
      </w:r>
      <w:r w:rsidR="00706F90">
        <w:rPr>
          <w:rFonts w:cstheme="minorHAnsi"/>
          <w:color w:val="000000"/>
        </w:rPr>
        <w:t>4</w:t>
      </w:r>
      <w:r w:rsidRPr="00B41B3C">
        <w:rPr>
          <w:rFonts w:cstheme="minorHAnsi"/>
          <w:color w:val="000000"/>
        </w:rPr>
        <w:t>,</w:t>
      </w:r>
      <w:r w:rsidR="003E437A">
        <w:rPr>
          <w:rFonts w:cstheme="minorHAnsi"/>
          <w:color w:val="000000"/>
        </w:rPr>
        <w:t xml:space="preserve"> </w:t>
      </w:r>
      <w:r w:rsidRPr="00B41B3C">
        <w:rPr>
          <w:rFonts w:cstheme="minorHAnsi"/>
          <w:color w:val="000000"/>
        </w:rPr>
        <w:t>202</w:t>
      </w:r>
      <w:r w:rsidR="00706F90">
        <w:rPr>
          <w:rFonts w:cstheme="minorHAnsi"/>
          <w:color w:val="000000"/>
        </w:rPr>
        <w:t>5</w:t>
      </w:r>
      <w:r w:rsidR="002711B3">
        <w:rPr>
          <w:rFonts w:cstheme="minorHAnsi"/>
          <w:color w:val="000000"/>
        </w:rPr>
        <w:t>.</w:t>
      </w:r>
      <w:r w:rsidR="003E437A">
        <w:rPr>
          <w:rFonts w:cstheme="minorHAnsi"/>
          <w:color w:val="000000"/>
        </w:rPr>
        <w:t xml:space="preserve"> </w:t>
      </w:r>
      <w:r w:rsidR="00A363B2">
        <w:rPr>
          <w:rFonts w:cstheme="minorHAnsi"/>
          <w:color w:val="000000"/>
        </w:rPr>
        <w:t xml:space="preserve">The </w:t>
      </w:r>
      <w:r w:rsidR="0030450D">
        <w:rPr>
          <w:rFonts w:cstheme="minorHAnsi"/>
          <w:color w:val="000000"/>
        </w:rPr>
        <w:t>full amendments package adopted by the A Committee is available at</w:t>
      </w:r>
      <w:r w:rsidR="00316CD4">
        <w:rPr>
          <w:rFonts w:cstheme="minorHAnsi"/>
          <w:color w:val="000000"/>
        </w:rPr>
        <w:t xml:space="preserve"> </w:t>
      </w:r>
      <w:hyperlink r:id="rId13" w:history="1">
        <w:r w:rsidR="00316CD4" w:rsidRPr="00560682">
          <w:rPr>
            <w:rStyle w:val="Hyperlink"/>
            <w:rFonts w:cstheme="minorHAnsi"/>
          </w:rPr>
          <w:t>https://content.naic.org/pbr_data.htm</w:t>
        </w:r>
      </w:hyperlink>
      <w:r w:rsidR="00316CD4">
        <w:rPr>
          <w:rFonts w:cstheme="minorHAnsi"/>
          <w:color w:val="000000"/>
        </w:rPr>
        <w:t xml:space="preserve"> under the “Next Year” subsection of the </w:t>
      </w:r>
      <w:r w:rsidR="00003555">
        <w:rPr>
          <w:rFonts w:cstheme="minorHAnsi"/>
          <w:color w:val="000000"/>
        </w:rPr>
        <w:t xml:space="preserve">“Valuation Manual” website section. </w:t>
      </w:r>
      <w:proofErr w:type="gramStart"/>
      <w:r w:rsidR="002711B3">
        <w:rPr>
          <w:rFonts w:cstheme="minorHAnsi"/>
          <w:color w:val="000000"/>
        </w:rPr>
        <w:t>All of</w:t>
      </w:r>
      <w:proofErr w:type="gramEnd"/>
      <w:r w:rsidR="002711B3">
        <w:rPr>
          <w:rFonts w:cstheme="minorHAnsi"/>
          <w:color w:val="000000"/>
        </w:rPr>
        <w:t xml:space="preserve"> t</w:t>
      </w:r>
      <w:r w:rsidRPr="00B41B3C">
        <w:rPr>
          <w:rFonts w:cstheme="minorHAnsi"/>
          <w:color w:val="000000"/>
        </w:rPr>
        <w:t xml:space="preserve">he amendments </w:t>
      </w:r>
      <w:r w:rsidR="00FB7355">
        <w:rPr>
          <w:rFonts w:cstheme="minorHAnsi"/>
          <w:color w:val="000000"/>
        </w:rPr>
        <w:t>will be considered</w:t>
      </w:r>
      <w:r w:rsidRPr="00B41B3C">
        <w:rPr>
          <w:rFonts w:cstheme="minorHAnsi"/>
          <w:color w:val="000000"/>
        </w:rPr>
        <w:t xml:space="preserve"> by the Executive (EX) Committee and Plenary at the 202</w:t>
      </w:r>
      <w:r w:rsidR="002F701A">
        <w:rPr>
          <w:rFonts w:cstheme="minorHAnsi"/>
          <w:color w:val="000000"/>
        </w:rPr>
        <w:t>5</w:t>
      </w:r>
      <w:r w:rsidRPr="00B41B3C">
        <w:rPr>
          <w:rFonts w:cstheme="minorHAnsi"/>
          <w:color w:val="000000"/>
        </w:rPr>
        <w:t xml:space="preserve"> NAIC Summer Meeting.</w:t>
      </w:r>
    </w:p>
    <w:p w14:paraId="5A2E2378" w14:textId="77777777" w:rsidR="0076519A" w:rsidRDefault="0076519A" w:rsidP="00885139">
      <w:pPr>
        <w:spacing w:after="0" w:line="280" w:lineRule="exact"/>
        <w:jc w:val="both"/>
        <w:rPr>
          <w:rFonts w:cstheme="minorHAnsi"/>
          <w:color w:val="000000"/>
        </w:rPr>
      </w:pPr>
    </w:p>
    <w:p w14:paraId="0549E121" w14:textId="7A598E73" w:rsidR="0076519A" w:rsidRDefault="00035439" w:rsidP="00885139">
      <w:pPr>
        <w:spacing w:after="0" w:line="280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The working group should consider the following amendments, in particular:</w:t>
      </w:r>
    </w:p>
    <w:p w14:paraId="102AD1F9" w14:textId="74AC4B8C" w:rsidR="00035439" w:rsidRPr="00131E60" w:rsidRDefault="00942523" w:rsidP="00035439">
      <w:pPr>
        <w:pStyle w:val="ListParagraph"/>
        <w:numPr>
          <w:ilvl w:val="0"/>
          <w:numId w:val="14"/>
        </w:numPr>
        <w:spacing w:line="280" w:lineRule="exact"/>
        <w:jc w:val="both"/>
        <w:rPr>
          <w:rFonts w:cstheme="minorHAnsi"/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Amendment Proposal Form</w:t>
      </w:r>
      <w:r w:rsidR="00F2351E">
        <w:rPr>
          <w:rFonts w:asciiTheme="minorHAnsi" w:hAnsiTheme="minorHAnsi" w:cstheme="minorHAnsi"/>
          <w:color w:val="000000"/>
          <w:sz w:val="22"/>
          <w:szCs w:val="22"/>
        </w:rPr>
        <w:t xml:space="preserve"> (APF) 2024-13 which clarifies the reflection of negative interest maintenance reserves (IMRs) </w:t>
      </w:r>
      <w:r w:rsidR="00131E60">
        <w:rPr>
          <w:rFonts w:asciiTheme="minorHAnsi" w:hAnsiTheme="minorHAnsi" w:cstheme="minorHAnsi"/>
          <w:color w:val="000000"/>
          <w:sz w:val="22"/>
          <w:szCs w:val="22"/>
        </w:rPr>
        <w:t>in</w:t>
      </w:r>
      <w:r w:rsidR="00F2351E">
        <w:rPr>
          <w:rFonts w:asciiTheme="minorHAnsi" w:hAnsiTheme="minorHAnsi" w:cstheme="minorHAnsi"/>
          <w:color w:val="000000"/>
          <w:sz w:val="22"/>
          <w:szCs w:val="22"/>
        </w:rPr>
        <w:t xml:space="preserve"> principle-based reserving and </w:t>
      </w:r>
      <w:r w:rsidR="00131E60">
        <w:rPr>
          <w:rFonts w:asciiTheme="minorHAnsi" w:hAnsiTheme="minorHAnsi" w:cstheme="minorHAnsi"/>
          <w:color w:val="000000"/>
          <w:sz w:val="22"/>
          <w:szCs w:val="22"/>
        </w:rPr>
        <w:t>asset adequacy analysis</w:t>
      </w:r>
      <w:r w:rsidR="00101F04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8C482A2" w14:textId="28A2BFA5" w:rsidR="00131E60" w:rsidRPr="00101F04" w:rsidRDefault="00131E60" w:rsidP="00035439">
      <w:pPr>
        <w:pStyle w:val="ListParagraph"/>
        <w:numPr>
          <w:ilvl w:val="0"/>
          <w:numId w:val="14"/>
        </w:numPr>
        <w:spacing w:line="280" w:lineRule="exact"/>
        <w:jc w:val="both"/>
        <w:rPr>
          <w:rFonts w:cstheme="minorHAnsi"/>
          <w:color w:val="000000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APF 2025-04</w:t>
      </w:r>
      <w:r w:rsidR="00B0758F">
        <w:rPr>
          <w:rFonts w:asciiTheme="minorHAnsi" w:hAnsiTheme="minorHAnsi" w:cstheme="minorHAnsi"/>
          <w:color w:val="000000"/>
          <w:sz w:val="22"/>
          <w:szCs w:val="22"/>
        </w:rPr>
        <w:t xml:space="preserve"> that implements the generator of economic scenarios (GOES)</w:t>
      </w:r>
      <w:r w:rsidR="00101F04">
        <w:rPr>
          <w:rFonts w:asciiTheme="minorHAnsi" w:hAnsiTheme="minorHAnsi" w:cstheme="minorHAnsi"/>
          <w:color w:val="000000"/>
          <w:sz w:val="22"/>
          <w:szCs w:val="22"/>
        </w:rPr>
        <w:t xml:space="preserve"> and includes an optional phase-in of the </w:t>
      </w:r>
      <w:r w:rsidR="00FD439B">
        <w:rPr>
          <w:rFonts w:asciiTheme="minorHAnsi" w:hAnsiTheme="minorHAnsi" w:cstheme="minorHAnsi"/>
          <w:color w:val="000000"/>
          <w:sz w:val="22"/>
          <w:szCs w:val="22"/>
        </w:rPr>
        <w:t>impacts to reserves</w:t>
      </w:r>
      <w:r w:rsidR="00101F04">
        <w:rPr>
          <w:rFonts w:asciiTheme="minorHAnsi" w:hAnsiTheme="minorHAnsi" w:cstheme="minorHAnsi"/>
          <w:color w:val="000000"/>
          <w:sz w:val="22"/>
          <w:szCs w:val="22"/>
        </w:rPr>
        <w:t>, and</w:t>
      </w:r>
    </w:p>
    <w:p w14:paraId="5C72404C" w14:textId="67F6784A" w:rsidR="00101F04" w:rsidRPr="00101F04" w:rsidRDefault="00101F04" w:rsidP="00035439">
      <w:pPr>
        <w:pStyle w:val="ListParagraph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1F04">
        <w:rPr>
          <w:rFonts w:asciiTheme="minorHAnsi" w:hAnsiTheme="minorHAnsi" w:cstheme="minorHAnsi"/>
          <w:color w:val="000000"/>
          <w:sz w:val="22"/>
          <w:szCs w:val="22"/>
        </w:rPr>
        <w:t>APF 2025-11</w:t>
      </w:r>
      <w:r w:rsidR="009B673D">
        <w:rPr>
          <w:rFonts w:asciiTheme="minorHAnsi" w:hAnsiTheme="minorHAnsi" w:cstheme="minorHAnsi"/>
          <w:color w:val="000000"/>
          <w:sz w:val="22"/>
          <w:szCs w:val="22"/>
        </w:rPr>
        <w:t xml:space="preserve"> which adds a new principle based reserving methodology for non-variable annuities and includes </w:t>
      </w:r>
      <w:r w:rsidR="00F44B8B" w:rsidRPr="00F44B8B">
        <w:rPr>
          <w:rFonts w:asciiTheme="minorHAnsi" w:hAnsiTheme="minorHAnsi" w:cstheme="minorHAnsi"/>
          <w:color w:val="000000"/>
          <w:sz w:val="22"/>
          <w:szCs w:val="22"/>
        </w:rPr>
        <w:t>an optional implementation period</w:t>
      </w:r>
      <w:r w:rsidR="00FD439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7A75C61" w14:textId="77777777" w:rsidR="00CF03E2" w:rsidRPr="00B41B3C" w:rsidRDefault="00CF03E2" w:rsidP="00885139">
      <w:pPr>
        <w:spacing w:after="0" w:line="280" w:lineRule="exact"/>
        <w:jc w:val="both"/>
        <w:rPr>
          <w:rFonts w:cstheme="minorHAnsi"/>
          <w:color w:val="000000"/>
        </w:rPr>
      </w:pPr>
    </w:p>
    <w:p w14:paraId="6D64BF96" w14:textId="6A4B6BAC" w:rsidR="00EB0AAF" w:rsidRPr="00B41B3C" w:rsidRDefault="00CF03E2" w:rsidP="00EB0AAF">
      <w:pPr>
        <w:spacing w:after="0" w:line="280" w:lineRule="exact"/>
        <w:rPr>
          <w:rFonts w:cstheme="minorHAnsi"/>
          <w:color w:val="000000"/>
        </w:rPr>
      </w:pPr>
      <w:r w:rsidRPr="00B41B3C">
        <w:rPr>
          <w:rFonts w:cstheme="minorHAnsi"/>
          <w:b/>
          <w:bCs/>
          <w:color w:val="000000"/>
        </w:rPr>
        <w:t>Actuarial Guidelines</w:t>
      </w:r>
      <w:r w:rsidRPr="00B41B3C">
        <w:rPr>
          <w:rFonts w:cstheme="minorHAnsi"/>
          <w:color w:val="000000"/>
        </w:rPr>
        <w:t xml:space="preserve"> </w:t>
      </w:r>
      <w:r w:rsidR="00EB0AAF" w:rsidRPr="00B41B3C">
        <w:rPr>
          <w:rFonts w:cstheme="minorHAnsi"/>
          <w:color w:val="000000"/>
        </w:rPr>
        <w:t>– Since the 202</w:t>
      </w:r>
      <w:r w:rsidR="00B551D4">
        <w:rPr>
          <w:rFonts w:cstheme="minorHAnsi"/>
          <w:color w:val="000000"/>
        </w:rPr>
        <w:t>4</w:t>
      </w:r>
      <w:r w:rsidR="00EB0AAF" w:rsidRPr="00B41B3C">
        <w:rPr>
          <w:rFonts w:cstheme="minorHAnsi"/>
          <w:color w:val="000000"/>
        </w:rPr>
        <w:t xml:space="preserve"> NAIC Summer Meeting the Task Force has created or revised the actuarial guidelines created listed below:</w:t>
      </w:r>
    </w:p>
    <w:p w14:paraId="4D16C3FE" w14:textId="77777777" w:rsidR="00EB0AAF" w:rsidRPr="00B41B3C" w:rsidRDefault="00EB0AAF" w:rsidP="00EB0AAF">
      <w:pPr>
        <w:spacing w:after="0" w:line="280" w:lineRule="exact"/>
        <w:rPr>
          <w:rFonts w:cstheme="minorHAnsi"/>
          <w:color w:val="000000"/>
        </w:rPr>
      </w:pPr>
    </w:p>
    <w:p w14:paraId="2EC70B67" w14:textId="51135349" w:rsidR="0066192E" w:rsidRDefault="00EB0AAF" w:rsidP="0066192E">
      <w:pPr>
        <w:spacing w:after="0" w:line="280" w:lineRule="exact"/>
        <w:rPr>
          <w:rFonts w:cstheme="minorHAnsi"/>
          <w:b/>
          <w:bCs/>
          <w:color w:val="000000"/>
        </w:rPr>
      </w:pPr>
      <w:r w:rsidRPr="00B035DE">
        <w:rPr>
          <w:rFonts w:cstheme="minorHAnsi"/>
          <w:b/>
          <w:bCs/>
          <w:color w:val="000000"/>
        </w:rPr>
        <w:t>Actuarial Guideline LV (AG 5</w:t>
      </w:r>
      <w:r w:rsidR="00592BD8">
        <w:rPr>
          <w:rFonts w:cstheme="minorHAnsi"/>
          <w:b/>
          <w:bCs/>
          <w:color w:val="000000"/>
        </w:rPr>
        <w:t>5</w:t>
      </w:r>
      <w:r w:rsidRPr="00B035DE">
        <w:rPr>
          <w:rFonts w:cstheme="minorHAnsi"/>
          <w:b/>
          <w:bCs/>
          <w:color w:val="000000"/>
        </w:rPr>
        <w:t xml:space="preserve">) – </w:t>
      </w:r>
      <w:r w:rsidR="0066192E">
        <w:rPr>
          <w:rFonts w:cstheme="minorHAnsi"/>
          <w:b/>
          <w:bCs/>
          <w:color w:val="000000"/>
        </w:rPr>
        <w:t>Application of the Valuation Manual for Testing the Adequacy of Reserves Related to Certain Life Reinsurance Treaties</w:t>
      </w:r>
      <w:r w:rsidR="0066192E" w:rsidRPr="0066192E">
        <w:rPr>
          <w:rFonts w:cstheme="minorHAnsi"/>
          <w:b/>
          <w:bCs/>
          <w:color w:val="000000"/>
        </w:rPr>
        <w:t xml:space="preserve"> </w:t>
      </w:r>
    </w:p>
    <w:p w14:paraId="2BF2CC03" w14:textId="40498B12" w:rsidR="00A70148" w:rsidRDefault="0091601F" w:rsidP="0066192E">
      <w:pPr>
        <w:pStyle w:val="ListParagraph"/>
        <w:numPr>
          <w:ilvl w:val="0"/>
          <w:numId w:val="12"/>
        </w:numPr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AG 55 addresses</w:t>
      </w:r>
      <w:r w:rsidR="00370879">
        <w:rPr>
          <w:rFonts w:asciiTheme="minorHAnsi" w:hAnsiTheme="minorHAnsi" w:cstheme="minorHAnsi"/>
          <w:color w:val="000000"/>
          <w:sz w:val="22"/>
          <w:szCs w:val="22"/>
        </w:rPr>
        <w:t xml:space="preserve"> state insurance regulators</w:t>
      </w:r>
      <w:r w:rsidR="00AB60A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="00AB60A4" w:rsidRPr="00AB60A4">
        <w:rPr>
          <w:rFonts w:asciiTheme="minorHAnsi" w:hAnsiTheme="minorHAnsi" w:cstheme="minorHAnsi"/>
          <w:color w:val="000000"/>
          <w:sz w:val="22"/>
          <w:szCs w:val="22"/>
        </w:rPr>
        <w:t>concerns</w:t>
      </w:r>
      <w:proofErr w:type="gramEnd"/>
      <w:r w:rsidR="00AB60A4"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 about potential asset inadequacy and insufficient reserves </w:t>
      </w:r>
      <w:r w:rsidR="00AB60A4">
        <w:rPr>
          <w:rFonts w:asciiTheme="minorHAnsi" w:hAnsiTheme="minorHAnsi" w:cstheme="minorHAnsi"/>
          <w:color w:val="000000"/>
          <w:sz w:val="22"/>
          <w:szCs w:val="22"/>
        </w:rPr>
        <w:t>resulting from certain reinsurance transactions by requiring</w:t>
      </w:r>
      <w:r w:rsidR="00470B90">
        <w:rPr>
          <w:rFonts w:asciiTheme="minorHAnsi" w:hAnsiTheme="minorHAnsi" w:cstheme="minorHAnsi"/>
          <w:color w:val="000000"/>
          <w:sz w:val="22"/>
          <w:szCs w:val="22"/>
        </w:rPr>
        <w:t xml:space="preserve"> additional disclosures for in-scope reinsurance transactions.</w:t>
      </w:r>
      <w:r w:rsidR="002F1273">
        <w:rPr>
          <w:rFonts w:asciiTheme="minorHAnsi" w:hAnsiTheme="minorHAnsi" w:cstheme="minorHAnsi"/>
          <w:color w:val="000000"/>
          <w:sz w:val="22"/>
          <w:szCs w:val="22"/>
        </w:rPr>
        <w:t xml:space="preserve"> Depending on the risk of the reinsurance treaty and other factors, the additional disclosures could  </w:t>
      </w:r>
      <w:r w:rsidR="002558E2">
        <w:rPr>
          <w:rFonts w:asciiTheme="minorHAnsi" w:hAnsiTheme="minorHAnsi" w:cstheme="minorHAnsi"/>
          <w:color w:val="000000"/>
          <w:sz w:val="22"/>
          <w:szCs w:val="22"/>
        </w:rPr>
        <w:t>include cash-flow testing, attribution analysis, or other analyses</w:t>
      </w:r>
      <w:r w:rsidR="00E0385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FEB2722" w14:textId="4701D26F" w:rsidR="00EB0AAF" w:rsidRPr="0066192E" w:rsidRDefault="00EB0AAF" w:rsidP="0066192E">
      <w:pPr>
        <w:pStyle w:val="ListParagraph"/>
        <w:numPr>
          <w:ilvl w:val="0"/>
          <w:numId w:val="12"/>
        </w:numPr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66192E">
        <w:rPr>
          <w:rFonts w:asciiTheme="minorHAnsi" w:hAnsiTheme="minorHAnsi" w:cstheme="minorHAnsi"/>
          <w:color w:val="000000"/>
          <w:sz w:val="22"/>
          <w:szCs w:val="22"/>
        </w:rPr>
        <w:t xml:space="preserve">Life Insurance and Annuities (A) Committee adoption – </w:t>
      </w:r>
      <w:r w:rsidR="00CB273F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="0059145D">
        <w:rPr>
          <w:rFonts w:asciiTheme="minorHAnsi" w:hAnsiTheme="minorHAnsi" w:cstheme="minorHAnsi"/>
          <w:color w:val="000000"/>
          <w:sz w:val="22"/>
          <w:szCs w:val="22"/>
        </w:rPr>
        <w:t>uly</w:t>
      </w:r>
      <w:r w:rsidRPr="0066192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B063F">
        <w:rPr>
          <w:rFonts w:asciiTheme="minorHAnsi" w:hAnsiTheme="minorHAnsi" w:cstheme="minorHAnsi"/>
          <w:color w:val="000000"/>
          <w:sz w:val="22"/>
          <w:szCs w:val="22"/>
        </w:rPr>
        <w:t>14</w:t>
      </w:r>
      <w:r w:rsidRPr="0066192E">
        <w:rPr>
          <w:rFonts w:asciiTheme="minorHAnsi" w:hAnsiTheme="minorHAnsi" w:cstheme="minorHAnsi"/>
          <w:color w:val="000000"/>
          <w:sz w:val="22"/>
          <w:szCs w:val="22"/>
        </w:rPr>
        <w:t>, 202</w:t>
      </w:r>
      <w:r w:rsidR="0059145D">
        <w:rPr>
          <w:rFonts w:asciiTheme="minorHAnsi" w:hAnsiTheme="minorHAnsi" w:cstheme="minorHAnsi"/>
          <w:color w:val="000000"/>
          <w:sz w:val="22"/>
          <w:szCs w:val="22"/>
        </w:rPr>
        <w:t>5</w:t>
      </w:r>
    </w:p>
    <w:p w14:paraId="0DC28443" w14:textId="5B573147" w:rsidR="00C44434" w:rsidRDefault="00EB0AAF" w:rsidP="00742074">
      <w:pPr>
        <w:pStyle w:val="ListParagraph"/>
        <w:numPr>
          <w:ilvl w:val="0"/>
          <w:numId w:val="12"/>
        </w:numPr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66192E">
        <w:rPr>
          <w:rFonts w:asciiTheme="minorHAnsi" w:hAnsiTheme="minorHAnsi" w:cstheme="minorHAnsi"/>
          <w:color w:val="000000"/>
          <w:sz w:val="22"/>
          <w:szCs w:val="22"/>
        </w:rPr>
        <w:t xml:space="preserve">Executive (EX) Committee and Plenary </w:t>
      </w:r>
      <w:r w:rsidR="00EB063F">
        <w:rPr>
          <w:rFonts w:asciiTheme="minorHAnsi" w:hAnsiTheme="minorHAnsi" w:cstheme="minorHAnsi"/>
          <w:color w:val="000000"/>
          <w:sz w:val="22"/>
          <w:szCs w:val="22"/>
        </w:rPr>
        <w:t xml:space="preserve">consideration for </w:t>
      </w:r>
      <w:r w:rsidRPr="0066192E">
        <w:rPr>
          <w:rFonts w:asciiTheme="minorHAnsi" w:hAnsiTheme="minorHAnsi" w:cstheme="minorHAnsi"/>
          <w:color w:val="000000"/>
          <w:sz w:val="22"/>
          <w:szCs w:val="22"/>
        </w:rPr>
        <w:t xml:space="preserve">adoption – </w:t>
      </w:r>
      <w:r w:rsidR="00021843">
        <w:rPr>
          <w:rFonts w:asciiTheme="minorHAnsi" w:hAnsiTheme="minorHAnsi" w:cstheme="minorHAnsi"/>
          <w:color w:val="000000"/>
          <w:sz w:val="22"/>
          <w:szCs w:val="22"/>
        </w:rPr>
        <w:t>August</w:t>
      </w:r>
      <w:r w:rsidRPr="0066192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9145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021843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66192E">
        <w:rPr>
          <w:rFonts w:asciiTheme="minorHAnsi" w:hAnsiTheme="minorHAnsi" w:cstheme="minorHAnsi"/>
          <w:color w:val="000000"/>
          <w:sz w:val="22"/>
          <w:szCs w:val="22"/>
        </w:rPr>
        <w:t>, 202</w:t>
      </w:r>
      <w:r w:rsidR="0059145D">
        <w:rPr>
          <w:rFonts w:asciiTheme="minorHAnsi" w:hAnsiTheme="minorHAnsi" w:cstheme="minorHAnsi"/>
          <w:color w:val="000000"/>
          <w:sz w:val="22"/>
          <w:szCs w:val="22"/>
        </w:rPr>
        <w:t>5</w:t>
      </w:r>
    </w:p>
    <w:p w14:paraId="176A7D2B" w14:textId="77777777" w:rsidR="00B551D4" w:rsidRPr="00B551D4" w:rsidRDefault="00B551D4" w:rsidP="00B551D4">
      <w:pPr>
        <w:pStyle w:val="ListParagraph"/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</w:p>
    <w:p w14:paraId="1023C391" w14:textId="7731C08C" w:rsidR="00742074" w:rsidRPr="00FD439B" w:rsidRDefault="00CF03E2" w:rsidP="004A62BE">
      <w:pPr>
        <w:spacing w:after="0" w:line="280" w:lineRule="exact"/>
        <w:rPr>
          <w:rFonts w:cstheme="minorHAnsi"/>
          <w:color w:val="000000"/>
        </w:rPr>
      </w:pPr>
      <w:r w:rsidRPr="00B41B3C">
        <w:rPr>
          <w:rFonts w:cstheme="minorHAnsi"/>
          <w:b/>
          <w:bCs/>
          <w:color w:val="000000"/>
        </w:rPr>
        <w:t>NAIC Models</w:t>
      </w:r>
      <w:r w:rsidRPr="00B41B3C">
        <w:rPr>
          <w:rFonts w:cstheme="minorHAnsi"/>
          <w:color w:val="000000"/>
        </w:rPr>
        <w:t xml:space="preserve"> – The Task Force has not created or revised any models since the 202</w:t>
      </w:r>
      <w:r w:rsidR="00592BD8">
        <w:rPr>
          <w:rFonts w:cstheme="minorHAnsi"/>
          <w:color w:val="000000"/>
        </w:rPr>
        <w:t>4</w:t>
      </w:r>
      <w:r w:rsidRPr="00B41B3C">
        <w:rPr>
          <w:rFonts w:cstheme="minorHAnsi"/>
          <w:color w:val="000000"/>
        </w:rPr>
        <w:t xml:space="preserve"> NAIC </w:t>
      </w:r>
      <w:r w:rsidR="00742074">
        <w:rPr>
          <w:rFonts w:cstheme="minorHAnsi"/>
          <w:color w:val="000000"/>
        </w:rPr>
        <w:t>Fall</w:t>
      </w:r>
      <w:r w:rsidRPr="00B41B3C">
        <w:rPr>
          <w:rFonts w:cstheme="minorHAnsi"/>
          <w:color w:val="000000"/>
        </w:rPr>
        <w:t xml:space="preserve"> Meetin</w:t>
      </w:r>
      <w:r w:rsidR="00FD439B">
        <w:rPr>
          <w:rFonts w:cstheme="minorHAnsi"/>
          <w:color w:val="000000"/>
        </w:rPr>
        <w:t>g.</w:t>
      </w:r>
    </w:p>
    <w:p w14:paraId="21CBA82A" w14:textId="77777777" w:rsidR="00742074" w:rsidRDefault="00742074" w:rsidP="004A62BE">
      <w:pPr>
        <w:spacing w:after="0" w:line="280" w:lineRule="exact"/>
        <w:rPr>
          <w:rFonts w:ascii="AvenirNext LT Pro Regular" w:hAnsi="AvenirNext LT Pro Regular" w:cs="Calibri"/>
          <w:b/>
          <w:bCs/>
          <w:color w:val="000000"/>
          <w:sz w:val="24"/>
          <w:szCs w:val="24"/>
        </w:rPr>
      </w:pPr>
    </w:p>
    <w:p w14:paraId="01101464" w14:textId="7E7059FB" w:rsidR="00E75EE3" w:rsidRPr="00B41B3C" w:rsidRDefault="00E75EE3" w:rsidP="004A62BE">
      <w:pPr>
        <w:spacing w:after="0" w:line="280" w:lineRule="exact"/>
        <w:rPr>
          <w:rFonts w:cstheme="minorHAnsi"/>
          <w:color w:val="000000"/>
        </w:rPr>
      </w:pPr>
      <w:r w:rsidRPr="00213060">
        <w:rPr>
          <w:rFonts w:ascii="AvenirNext LT Pro Regular" w:hAnsi="AvenirNext LT Pro Regular" w:cs="Calibri"/>
          <w:b/>
          <w:bCs/>
          <w:color w:val="000000"/>
          <w:sz w:val="24"/>
          <w:szCs w:val="24"/>
        </w:rPr>
        <w:lastRenderedPageBreak/>
        <w:t>Attachment A</w:t>
      </w:r>
    </w:p>
    <w:p w14:paraId="06E871AF" w14:textId="77777777" w:rsidR="00E75EE3" w:rsidRPr="0022783C" w:rsidRDefault="00E75EE3" w:rsidP="004A62BE">
      <w:pPr>
        <w:spacing w:after="0" w:line="280" w:lineRule="exact"/>
        <w:rPr>
          <w:rFonts w:ascii="AvenirNext LT Pro Regular" w:hAnsi="AvenirNext LT Pro Regular" w:cs="Calibri"/>
          <w:color w:val="000000"/>
          <w:sz w:val="19"/>
          <w:szCs w:val="19"/>
        </w:rPr>
      </w:pPr>
    </w:p>
    <w:tbl>
      <w:tblPr>
        <w:tblStyle w:val="LightShading-Accent1"/>
        <w:tblW w:w="11155" w:type="dxa"/>
        <w:tblLayout w:type="fixed"/>
        <w:tblLook w:val="04A0" w:firstRow="1" w:lastRow="0" w:firstColumn="1" w:lastColumn="0" w:noHBand="0" w:noVBand="1"/>
      </w:tblPr>
      <w:tblGrid>
        <w:gridCol w:w="1577"/>
        <w:gridCol w:w="2378"/>
        <w:gridCol w:w="5580"/>
        <w:gridCol w:w="1620"/>
      </w:tblGrid>
      <w:tr w:rsidR="006D2958" w:rsidRPr="000168CF" w14:paraId="3083C57E" w14:textId="77777777" w:rsidTr="00D665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5984"/>
            <w:noWrap/>
            <w:vAlign w:val="center"/>
            <w:hideMark/>
          </w:tcPr>
          <w:p w14:paraId="51987A62" w14:textId="77777777" w:rsidR="006D2958" w:rsidRPr="000168CF" w:rsidRDefault="006D2958" w:rsidP="00743542">
            <w:pPr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0168CF">
              <w:rPr>
                <w:rFonts w:ascii="Times New Roman" w:eastAsia="Times New Roman" w:hAnsi="Times New Roman" w:cs="Times New Roman"/>
                <w:color w:val="FFFFFF" w:themeColor="background1"/>
              </w:rPr>
              <w:t>LATF VM Amendment</w:t>
            </w:r>
          </w:p>
        </w:tc>
        <w:tc>
          <w:tcPr>
            <w:tcW w:w="2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5984"/>
            <w:vAlign w:val="center"/>
            <w:hideMark/>
          </w:tcPr>
          <w:p w14:paraId="619BD2D2" w14:textId="77777777" w:rsidR="006D2958" w:rsidRPr="000168CF" w:rsidRDefault="006D2958" w:rsidP="00743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</w:rPr>
            </w:pPr>
            <w:r w:rsidRPr="000168CF">
              <w:rPr>
                <w:rFonts w:ascii="Times New Roman" w:eastAsia="Times New Roman" w:hAnsi="Times New Roman" w:cs="Times New Roman"/>
                <w:color w:val="FFFFFF" w:themeColor="background1"/>
              </w:rPr>
              <w:t>Valuation Manual Reference</w:t>
            </w:r>
          </w:p>
        </w:tc>
        <w:tc>
          <w:tcPr>
            <w:tcW w:w="5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5984"/>
            <w:vAlign w:val="center"/>
            <w:hideMark/>
          </w:tcPr>
          <w:p w14:paraId="31F3BE99" w14:textId="77777777" w:rsidR="006D2958" w:rsidRPr="000168CF" w:rsidRDefault="006D2958" w:rsidP="00743542">
            <w:pPr>
              <w:ind w:left="72" w:hanging="7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</w:rPr>
            </w:pPr>
            <w:r w:rsidRPr="000168CF">
              <w:rPr>
                <w:rFonts w:ascii="Times New Roman" w:eastAsia="Times New Roman" w:hAnsi="Times New Roman" w:cs="Times New Roman"/>
                <w:color w:val="FFFFFF"/>
              </w:rPr>
              <w:t>Valuation Manual Amendment Proposal Descriptions</w:t>
            </w:r>
          </w:p>
        </w:tc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5984"/>
            <w:vAlign w:val="center"/>
            <w:hideMark/>
          </w:tcPr>
          <w:p w14:paraId="6EE3B42B" w14:textId="77777777" w:rsidR="006D2958" w:rsidRPr="000168CF" w:rsidRDefault="006D2958" w:rsidP="007435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FFFF"/>
              </w:rPr>
            </w:pPr>
            <w:r w:rsidRPr="000168CF">
              <w:rPr>
                <w:rFonts w:ascii="Times New Roman" w:eastAsia="Times New Roman" w:hAnsi="Times New Roman" w:cs="Times New Roman"/>
                <w:color w:val="FFFFFF" w:themeColor="background1"/>
              </w:rPr>
              <w:t>LATF Adoption Date</w:t>
            </w:r>
          </w:p>
        </w:tc>
      </w:tr>
      <w:tr w:rsidR="006D2958" w:rsidRPr="001F3C72" w14:paraId="6065D21A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tcBorders>
              <w:top w:val="single" w:sz="4" w:space="0" w:color="FFFFFF" w:themeColor="background1"/>
            </w:tcBorders>
            <w:vAlign w:val="center"/>
          </w:tcPr>
          <w:p w14:paraId="4A3C2D98" w14:textId="77777777" w:rsidR="006D2958" w:rsidRPr="001F3C72" w:rsidRDefault="006D2958" w:rsidP="007435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2024-11</w:t>
            </w:r>
          </w:p>
        </w:tc>
        <w:tc>
          <w:tcPr>
            <w:tcW w:w="2378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01ADEA41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264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Valuation Manual Section II, Subsection 1.G</w:t>
            </w:r>
          </w:p>
        </w:tc>
        <w:tc>
          <w:tcPr>
            <w:tcW w:w="5580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08005E6A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264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This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amendment</w:t>
            </w:r>
            <w:r w:rsidRPr="004264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is to coordinate with Blanks updates that have been made. Specifically, in Exhibit 1, Part 1 there is now an “individual” column rather than an “ordinary” column and the separate industrial and credit life columns were removed, by BWG 2022-14.</w:t>
            </w:r>
          </w:p>
        </w:tc>
        <w:tc>
          <w:tcPr>
            <w:tcW w:w="1620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1132AEBA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4264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264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/2024</w:t>
            </w:r>
          </w:p>
        </w:tc>
      </w:tr>
      <w:tr w:rsidR="006D2958" w:rsidRPr="00932114" w14:paraId="3BDD8F1F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tcBorders>
              <w:top w:val="single" w:sz="4" w:space="0" w:color="FFFFFF" w:themeColor="background1"/>
            </w:tcBorders>
            <w:vAlign w:val="center"/>
          </w:tcPr>
          <w:p w14:paraId="3D3A1769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2024-14</w:t>
            </w:r>
          </w:p>
        </w:tc>
        <w:tc>
          <w:tcPr>
            <w:tcW w:w="2378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78A0DEC6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21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VM-31 Section 3.F.3.f</w:t>
            </w:r>
          </w:p>
        </w:tc>
        <w:tc>
          <w:tcPr>
            <w:tcW w:w="5580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4E8F44A5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This amendment adds </w:t>
            </w:r>
            <w:r w:rsidRPr="009321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VM-31 Section 3.F.3.f(iii) to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require</w:t>
            </w:r>
            <w:r w:rsidRPr="009321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reporting on waiver of surrender charges provisions.</w:t>
            </w:r>
          </w:p>
        </w:tc>
        <w:tc>
          <w:tcPr>
            <w:tcW w:w="1620" w:type="dxa"/>
            <w:tcBorders>
              <w:top w:val="single" w:sz="4" w:space="0" w:color="FFFFFF" w:themeColor="background1"/>
            </w:tcBorders>
            <w:noWrap/>
            <w:vAlign w:val="center"/>
          </w:tcPr>
          <w:p w14:paraId="69494B60" w14:textId="77777777" w:rsidR="006D2958" w:rsidRPr="00932114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11/15/2024</w:t>
            </w:r>
          </w:p>
        </w:tc>
      </w:tr>
      <w:tr w:rsidR="006D2958" w:rsidRPr="00D516DA" w14:paraId="190FF4DD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3DC86BA8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2024-13</w:t>
            </w:r>
          </w:p>
        </w:tc>
        <w:tc>
          <w:tcPr>
            <w:tcW w:w="2378" w:type="dxa"/>
            <w:noWrap/>
            <w:vAlign w:val="center"/>
          </w:tcPr>
          <w:p w14:paraId="4CD6EC3D" w14:textId="77777777" w:rsidR="006D2958" w:rsidRPr="00D76569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76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VM- 20 Section 7.D.7 </w:t>
            </w:r>
          </w:p>
          <w:p w14:paraId="6C31C2B0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76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VM-30 Section 3.B.5</w:t>
            </w:r>
          </w:p>
        </w:tc>
        <w:tc>
          <w:tcPr>
            <w:tcW w:w="5580" w:type="dxa"/>
            <w:noWrap/>
            <w:vAlign w:val="center"/>
          </w:tcPr>
          <w:p w14:paraId="4C06D4AB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clarifies the</w:t>
            </w:r>
            <w:r w:rsidRPr="00D76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reflection of negative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interest maintenance reserves (</w:t>
            </w:r>
            <w:r w:rsidRPr="00D765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IMR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s).</w:t>
            </w:r>
          </w:p>
        </w:tc>
        <w:tc>
          <w:tcPr>
            <w:tcW w:w="1620" w:type="dxa"/>
            <w:noWrap/>
            <w:vAlign w:val="center"/>
          </w:tcPr>
          <w:p w14:paraId="3D199257" w14:textId="77777777" w:rsidR="006D2958" w:rsidRPr="00D516DA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12/12/2024</w:t>
            </w:r>
          </w:p>
        </w:tc>
      </w:tr>
      <w:tr w:rsidR="006D2958" w:rsidRPr="001F3C72" w14:paraId="18825F49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14319349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2024-15</w:t>
            </w:r>
          </w:p>
        </w:tc>
        <w:tc>
          <w:tcPr>
            <w:tcW w:w="2378" w:type="dxa"/>
            <w:noWrap/>
            <w:vAlign w:val="center"/>
          </w:tcPr>
          <w:p w14:paraId="4CEC188F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VM-21 Section 11.B.3 (Mortality)</w:t>
            </w:r>
          </w:p>
        </w:tc>
        <w:tc>
          <w:tcPr>
            <w:tcW w:w="5580" w:type="dxa"/>
            <w:noWrap/>
            <w:vAlign w:val="center"/>
          </w:tcPr>
          <w:p w14:paraId="1876F2E7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This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amendment </w:t>
            </w: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correct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an error introduced in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amendment</w:t>
            </w: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2024-07 that unintentionally changed the industry mortality table from a ceiling to a floor for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variable annuity guaranteed living benefits (</w:t>
            </w: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VAGLBs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F70C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620" w:type="dxa"/>
            <w:noWrap/>
            <w:vAlign w:val="center"/>
          </w:tcPr>
          <w:p w14:paraId="2651504D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12/12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/2024</w:t>
            </w:r>
          </w:p>
        </w:tc>
      </w:tr>
      <w:tr w:rsidR="006D2958" w:rsidRPr="007A6454" w14:paraId="651A5033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5C8E27AB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D729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2025-01</w:t>
            </w:r>
          </w:p>
        </w:tc>
        <w:tc>
          <w:tcPr>
            <w:tcW w:w="2378" w:type="dxa"/>
            <w:noWrap/>
            <w:vAlign w:val="center"/>
          </w:tcPr>
          <w:p w14:paraId="5494B525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A64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VM-20, Sections 3.C.1.g and 6.B.5.d</w:t>
            </w:r>
          </w:p>
        </w:tc>
        <w:tc>
          <w:tcPr>
            <w:tcW w:w="5580" w:type="dxa"/>
            <w:noWrap/>
            <w:vAlign w:val="center"/>
          </w:tcPr>
          <w:p w14:paraId="67F6271A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</w:t>
            </w:r>
            <w:r w:rsidRPr="007A64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ensure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7A64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that groups with higher anticipated mortality reflect appropriate margins in the mortality rates used for the basic reserve/NPR calculation.</w:t>
            </w:r>
          </w:p>
        </w:tc>
        <w:tc>
          <w:tcPr>
            <w:tcW w:w="1620" w:type="dxa"/>
            <w:noWrap/>
            <w:vAlign w:val="center"/>
          </w:tcPr>
          <w:p w14:paraId="69470867" w14:textId="77777777" w:rsidR="006D2958" w:rsidRPr="007A6454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3/22/2025</w:t>
            </w:r>
          </w:p>
        </w:tc>
      </w:tr>
      <w:tr w:rsidR="006D2958" w:rsidRPr="001F3C72" w14:paraId="3CA0D756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3D83AD3D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5-03</w:t>
            </w:r>
          </w:p>
        </w:tc>
        <w:tc>
          <w:tcPr>
            <w:tcW w:w="2378" w:type="dxa"/>
            <w:noWrap/>
            <w:vAlign w:val="center"/>
          </w:tcPr>
          <w:p w14:paraId="7F99C889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VM-20, Section 9.D.5</w:t>
            </w:r>
          </w:p>
        </w:tc>
        <w:tc>
          <w:tcPr>
            <w:tcW w:w="5580" w:type="dxa"/>
            <w:noWrap/>
            <w:vAlign w:val="center"/>
          </w:tcPr>
          <w:p w14:paraId="49AF25A2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modifies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universal life with secondary guarantee (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ULSG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lapse assumption for policies with minimal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cash surrender value (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CSV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so that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the</w:t>
            </w:r>
            <w:r w:rsidRPr="0017400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required industry table is a guardrail rather than a prescribed assumption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0" w:type="dxa"/>
            <w:noWrap/>
            <w:vAlign w:val="center"/>
          </w:tcPr>
          <w:p w14:paraId="5F43870D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58F7B8BF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0171E160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5-02</w:t>
            </w:r>
          </w:p>
        </w:tc>
        <w:tc>
          <w:tcPr>
            <w:tcW w:w="2378" w:type="dxa"/>
            <w:noWrap/>
            <w:vAlign w:val="center"/>
          </w:tcPr>
          <w:p w14:paraId="08DFDF45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B43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VM-02 Section 3.A. (Nonforfeiture Rates); VM-20 Section 3.C.2.a. and 3.C.2.b. </w:t>
            </w:r>
          </w:p>
        </w:tc>
        <w:tc>
          <w:tcPr>
            <w:tcW w:w="5580" w:type="dxa"/>
            <w:noWrap/>
            <w:vAlign w:val="center"/>
          </w:tcPr>
          <w:p w14:paraId="0F8500CF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clarifies</w:t>
            </w:r>
            <w:r w:rsidRPr="00F125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the rounding rules associated with the calculation of rates from the NAIC model Standard Valuation Law and model Standard Nonforfeiture Law for Life Insurance.</w:t>
            </w:r>
          </w:p>
        </w:tc>
        <w:tc>
          <w:tcPr>
            <w:tcW w:w="1620" w:type="dxa"/>
            <w:noWrap/>
            <w:vAlign w:val="center"/>
          </w:tcPr>
          <w:p w14:paraId="7C7CC0A7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4/2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3601D4CB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3277532D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2024-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378" w:type="dxa"/>
            <w:noWrap/>
            <w:vAlign w:val="center"/>
          </w:tcPr>
          <w:p w14:paraId="26BEAC62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3149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VM-02, Section 3, Guidance Note</w:t>
            </w:r>
          </w:p>
        </w:tc>
        <w:tc>
          <w:tcPr>
            <w:tcW w:w="5580" w:type="dxa"/>
            <w:noWrap/>
            <w:vAlign w:val="center"/>
          </w:tcPr>
          <w:p w14:paraId="7BE7E691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701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The addition to the guidance </w:t>
            </w:r>
            <w:proofErr w:type="gramStart"/>
            <w:r w:rsidRPr="006701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note</w:t>
            </w:r>
            <w:proofErr w:type="gramEnd"/>
            <w:r w:rsidRPr="006701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in this amendment </w:t>
            </w:r>
            <w:r w:rsidRPr="006701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adds clarity to the nonforfeiture requirements for UL policies where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CSV</w:t>
            </w:r>
            <w:r w:rsidRPr="006701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is based on multiple sets of accounts with different guaranteed interest rates.</w:t>
            </w:r>
          </w:p>
        </w:tc>
        <w:tc>
          <w:tcPr>
            <w:tcW w:w="1620" w:type="dxa"/>
            <w:noWrap/>
            <w:vAlign w:val="center"/>
          </w:tcPr>
          <w:p w14:paraId="0A854702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5/8/2025</w:t>
            </w:r>
          </w:p>
        </w:tc>
      </w:tr>
      <w:tr w:rsidR="006D2958" w:rsidRPr="001F3C72" w14:paraId="76CA844B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7F4D4B01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2025-07</w:t>
            </w:r>
          </w:p>
        </w:tc>
        <w:tc>
          <w:tcPr>
            <w:tcW w:w="2378" w:type="dxa"/>
            <w:noWrap/>
            <w:vAlign w:val="center"/>
          </w:tcPr>
          <w:p w14:paraId="53436EB5" w14:textId="77777777" w:rsidR="006D2958" w:rsidRPr="00346568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VM-21, Section 6</w:t>
            </w:r>
          </w:p>
          <w:p w14:paraId="5CFAEDA5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VM-31, Section 3.12</w:t>
            </w:r>
          </w:p>
        </w:tc>
        <w:tc>
          <w:tcPr>
            <w:tcW w:w="5580" w:type="dxa"/>
            <w:shd w:val="clear" w:color="auto" w:fill="D3DFEE"/>
            <w:noWrap/>
            <w:vAlign w:val="center"/>
          </w:tcPr>
          <w:p w14:paraId="217BAF41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As of January 1, 2025,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company-specific market path</w:t>
            </w: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ethod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(CSMP)</w:t>
            </w: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is no longer an option for calculating the Additional Standard Projection Amount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(ASPA) </w:t>
            </w:r>
            <w:r w:rsidRPr="0034656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under VM-21.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removes references to the CSMP.</w:t>
            </w:r>
          </w:p>
        </w:tc>
        <w:tc>
          <w:tcPr>
            <w:tcW w:w="1620" w:type="dxa"/>
            <w:noWrap/>
            <w:vAlign w:val="center"/>
          </w:tcPr>
          <w:p w14:paraId="20FF2210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5/8/2025</w:t>
            </w:r>
          </w:p>
        </w:tc>
      </w:tr>
      <w:tr w:rsidR="006D2958" w:rsidRPr="001F3C72" w14:paraId="5FB8AC7A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52423232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5-08</w:t>
            </w:r>
          </w:p>
        </w:tc>
        <w:tc>
          <w:tcPr>
            <w:tcW w:w="2378" w:type="dxa"/>
            <w:noWrap/>
            <w:vAlign w:val="center"/>
          </w:tcPr>
          <w:p w14:paraId="508C993B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F47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 30, Section 3.A.4</w:t>
            </w:r>
          </w:p>
        </w:tc>
        <w:tc>
          <w:tcPr>
            <w:tcW w:w="5580" w:type="dxa"/>
            <w:noWrap/>
            <w:vAlign w:val="center"/>
          </w:tcPr>
          <w:p w14:paraId="3CDF49F2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This amendment revises the </w:t>
            </w:r>
            <w:r w:rsidRPr="009F47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Identification Section of the Life Actuarial Opinion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 handle</w:t>
            </w:r>
            <w:r w:rsidRPr="009F47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appointed actuaries who are employed by one company within an insurance group, and who sign opinions on behalf of other companies within the group.  </w:t>
            </w:r>
          </w:p>
        </w:tc>
        <w:tc>
          <w:tcPr>
            <w:tcW w:w="1620" w:type="dxa"/>
            <w:noWrap/>
            <w:vAlign w:val="center"/>
          </w:tcPr>
          <w:p w14:paraId="5D2496C3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75F0A461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4ABDA4E7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5-09</w:t>
            </w:r>
          </w:p>
        </w:tc>
        <w:tc>
          <w:tcPr>
            <w:tcW w:w="2378" w:type="dxa"/>
            <w:noWrap/>
            <w:vAlign w:val="center"/>
          </w:tcPr>
          <w:p w14:paraId="686C10ED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977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VM-20, Section 8.C.3.c</w:t>
            </w:r>
          </w:p>
        </w:tc>
        <w:tc>
          <w:tcPr>
            <w:tcW w:w="5580" w:type="dxa"/>
            <w:noWrap/>
            <w:vAlign w:val="center"/>
          </w:tcPr>
          <w:p w14:paraId="14D23A3A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clarifies requirements to ensure that expense risk in reinsurance is adequately reserved for.</w:t>
            </w:r>
          </w:p>
        </w:tc>
        <w:tc>
          <w:tcPr>
            <w:tcW w:w="1620" w:type="dxa"/>
            <w:noWrap/>
            <w:vAlign w:val="center"/>
          </w:tcPr>
          <w:p w14:paraId="60108CA6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6965C97B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2BDF028B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5-10</w:t>
            </w:r>
          </w:p>
        </w:tc>
        <w:tc>
          <w:tcPr>
            <w:tcW w:w="2378" w:type="dxa"/>
            <w:noWrap/>
            <w:vAlign w:val="center"/>
          </w:tcPr>
          <w:p w14:paraId="25715827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303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 Section 7.E.1.g and VM-21 Section 4. D.4.b</w:t>
            </w:r>
          </w:p>
        </w:tc>
        <w:tc>
          <w:tcPr>
            <w:tcW w:w="5580" w:type="dxa"/>
            <w:noWrap/>
            <w:vAlign w:val="center"/>
          </w:tcPr>
          <w:p w14:paraId="084F98DA" w14:textId="77777777" w:rsidR="006D2958" w:rsidRPr="001F3C72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r</w:t>
            </w:r>
            <w:r w:rsidRPr="00B303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evise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 the</w:t>
            </w:r>
            <w:r w:rsidRPr="00B303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reinvestment guardrail to have a minimum quality rather than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 </w:t>
            </w:r>
            <w:r w:rsidRPr="00B303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prescribed quality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0" w:type="dxa"/>
            <w:noWrap/>
            <w:vAlign w:val="center"/>
          </w:tcPr>
          <w:p w14:paraId="70A79E03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5/2025</w:t>
            </w:r>
          </w:p>
        </w:tc>
      </w:tr>
      <w:tr w:rsidR="006D2958" w:rsidRPr="001F3C72" w14:paraId="4DA79A22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00EF5F36" w14:textId="77777777" w:rsidR="006D2958" w:rsidRPr="001F3C72" w:rsidRDefault="006D2958" w:rsidP="00743542">
            <w:pPr>
              <w:jc w:val="center"/>
              <w:rPr>
                <w:color w:val="auto"/>
              </w:rPr>
            </w:pPr>
            <w:r w:rsidRPr="00BB46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2025-04</w:t>
            </w:r>
          </w:p>
        </w:tc>
        <w:tc>
          <w:tcPr>
            <w:tcW w:w="2378" w:type="dxa"/>
            <w:noWrap/>
            <w:vAlign w:val="center"/>
          </w:tcPr>
          <w:p w14:paraId="7A2440D4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275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 Section 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F275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VM-20 Section 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F275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VM-20 Appendix 1, VM-21 Section 8, VM-31 Section 3</w:t>
            </w:r>
          </w:p>
        </w:tc>
        <w:tc>
          <w:tcPr>
            <w:tcW w:w="5580" w:type="dxa"/>
            <w:noWrap/>
            <w:vAlign w:val="center"/>
          </w:tcPr>
          <w:p w14:paraId="5BD7F748" w14:textId="77777777" w:rsidR="006D2958" w:rsidRPr="001F3C72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u</w:t>
            </w:r>
            <w:r w:rsidRPr="00F275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pdate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F275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the Valuation Manual economic scenario generator references for the adoption of the Conning-maintained prescribed economic scenario generator.</w:t>
            </w:r>
          </w:p>
        </w:tc>
        <w:tc>
          <w:tcPr>
            <w:tcW w:w="1620" w:type="dxa"/>
            <w:noWrap/>
            <w:vAlign w:val="center"/>
          </w:tcPr>
          <w:p w14:paraId="07366AB0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1C71973F" w14:textId="77777777" w:rsidTr="00D665E4">
        <w:trPr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31D0ED09" w14:textId="77777777" w:rsidR="006D2958" w:rsidRPr="00BB461F" w:rsidRDefault="006D2958" w:rsidP="007435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6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2025-0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378" w:type="dxa"/>
            <w:noWrap/>
            <w:vAlign w:val="center"/>
          </w:tcPr>
          <w:p w14:paraId="37222E37" w14:textId="77777777" w:rsidR="006D2958" w:rsidRPr="00F275CF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07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VM-01 definitions of Qualified Actuary and Appointed Actuary</w:t>
            </w:r>
          </w:p>
        </w:tc>
        <w:tc>
          <w:tcPr>
            <w:tcW w:w="5580" w:type="dxa"/>
            <w:noWrap/>
            <w:vAlign w:val="center"/>
          </w:tcPr>
          <w:p w14:paraId="3553B372" w14:textId="77777777" w:rsidR="006D2958" w:rsidRPr="00F275CF" w:rsidRDefault="006D2958" w:rsidP="0074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This amendment updates the </w:t>
            </w:r>
            <w:r w:rsidRPr="004007D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definitions of Qualified Actuary and Appointed Actuary to add reference to the knowledge statements adopted by LATF.</w:t>
            </w:r>
          </w:p>
        </w:tc>
        <w:tc>
          <w:tcPr>
            <w:tcW w:w="1620" w:type="dxa"/>
            <w:noWrap/>
            <w:vAlign w:val="center"/>
          </w:tcPr>
          <w:p w14:paraId="6717F07B" w14:textId="77777777" w:rsidR="006D2958" w:rsidRPr="001F3C72" w:rsidRDefault="006D2958" w:rsidP="007435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D2958" w:rsidRPr="001F3C72" w14:paraId="6BC618C6" w14:textId="77777777" w:rsidTr="00D665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Align w:val="center"/>
          </w:tcPr>
          <w:p w14:paraId="4CC40954" w14:textId="77777777" w:rsidR="006D2958" w:rsidRPr="00BB461F" w:rsidRDefault="006D2958" w:rsidP="007435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61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2025-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378" w:type="dxa"/>
            <w:noWrap/>
            <w:vAlign w:val="center"/>
          </w:tcPr>
          <w:p w14:paraId="17A6B342" w14:textId="77777777" w:rsidR="006D2958" w:rsidRPr="00F275CF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79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Valuation Manual, Section II Subsections 2, 3, 6, VM-01, VM-22, VM-31, VM-G, and VM-V</w:t>
            </w:r>
          </w:p>
        </w:tc>
        <w:tc>
          <w:tcPr>
            <w:tcW w:w="5580" w:type="dxa"/>
            <w:noWrap/>
            <w:vAlign w:val="center"/>
          </w:tcPr>
          <w:p w14:paraId="7137B959" w14:textId="77777777" w:rsidR="006D2958" w:rsidRPr="00F275CF" w:rsidRDefault="006D2958" w:rsidP="00743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This amendment introduces</w:t>
            </w:r>
            <w:r w:rsidRPr="000D79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 new principle-based reserving framework for non-variable annuities, located in Section VM-22 of the NAIC Valuation Manual. </w:t>
            </w:r>
          </w:p>
        </w:tc>
        <w:tc>
          <w:tcPr>
            <w:tcW w:w="1620" w:type="dxa"/>
            <w:noWrap/>
            <w:vAlign w:val="center"/>
          </w:tcPr>
          <w:p w14:paraId="01CE8B63" w14:textId="77777777" w:rsidR="006D2958" w:rsidRPr="001F3C72" w:rsidRDefault="006D2958" w:rsidP="007435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6/1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F3C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157987CB" w14:textId="77777777" w:rsidR="003D1BA0" w:rsidRPr="0022783C" w:rsidRDefault="003D1BA0" w:rsidP="00D665E4">
      <w:pPr>
        <w:spacing w:after="0" w:line="260" w:lineRule="exact"/>
        <w:jc w:val="both"/>
        <w:rPr>
          <w:rFonts w:ascii="AvenirNext LT Pro Regular" w:hAnsi="AvenirNext LT Pro Regular" w:cs="Calibri"/>
          <w:color w:val="000000"/>
          <w:sz w:val="19"/>
          <w:szCs w:val="19"/>
          <w:lang w:val="en-GB"/>
        </w:rPr>
      </w:pPr>
    </w:p>
    <w:sectPr w:rsidR="003D1BA0" w:rsidRPr="0022783C" w:rsidSect="00B9315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720" w:right="720" w:bottom="720" w:left="720" w:header="0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67B9C" w14:textId="77777777" w:rsidR="004E0AFD" w:rsidRDefault="004E0AFD" w:rsidP="007B033C">
      <w:pPr>
        <w:spacing w:after="0" w:line="240" w:lineRule="auto"/>
      </w:pPr>
      <w:r>
        <w:separator/>
      </w:r>
    </w:p>
  </w:endnote>
  <w:endnote w:type="continuationSeparator" w:id="0">
    <w:p w14:paraId="7D6BE768" w14:textId="77777777" w:rsidR="004E0AFD" w:rsidRDefault="004E0AFD" w:rsidP="007B033C">
      <w:pPr>
        <w:spacing w:after="0" w:line="240" w:lineRule="auto"/>
      </w:pPr>
      <w:r>
        <w:continuationSeparator/>
      </w:r>
    </w:p>
  </w:endnote>
  <w:endnote w:type="continuationNotice" w:id="1">
    <w:p w14:paraId="2D6F26E2" w14:textId="77777777" w:rsidR="004E0AFD" w:rsidRDefault="004E0A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AvenirNext LT Pro Regular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AD9B" w14:textId="77777777" w:rsidR="004B08FB" w:rsidRDefault="004B08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A8B8C"/>
        <w:sz w:val="20"/>
        <w:szCs w:val="20"/>
      </w:rPr>
      <w:id w:val="19328514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099BC12" w14:textId="505FC2C4" w:rsidR="00393E4E" w:rsidRPr="00070005" w:rsidRDefault="00C13164" w:rsidP="0058796E">
        <w:pPr>
          <w:pStyle w:val="Footer"/>
          <w:jc w:val="right"/>
          <w:rPr>
            <w:rFonts w:ascii="Times New Roman" w:hAnsi="Times New Roman" w:cs="Times New Roman"/>
            <w:color w:val="8A8B8C"/>
            <w:sz w:val="20"/>
            <w:szCs w:val="20"/>
          </w:rPr>
        </w:pPr>
        <w:r>
          <w:rPr>
            <w:noProof/>
            <w:color w:val="8A8B8C"/>
            <w:sz w:val="20"/>
            <w:szCs w:val="20"/>
          </w:rPr>
          <w:drawing>
            <wp:anchor distT="0" distB="0" distL="114300" distR="114300" simplePos="0" relativeHeight="251658241" behindDoc="1" locked="0" layoutInCell="1" allowOverlap="1" wp14:anchorId="42ACE61E" wp14:editId="68A3339A">
              <wp:simplePos x="0" y="0"/>
              <wp:positionH relativeFrom="page">
                <wp:posOffset>0</wp:posOffset>
              </wp:positionH>
              <wp:positionV relativeFrom="page">
                <wp:posOffset>9372600</wp:posOffset>
              </wp:positionV>
              <wp:extent cx="4572000" cy="685800"/>
              <wp:effectExtent l="0" t="0" r="0" b="0"/>
              <wp:wrapNone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572000" cy="685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8A8B8C"/>
            <w:sz w:val="20"/>
            <w:szCs w:val="20"/>
          </w:rPr>
          <w:tab/>
        </w:r>
        <w:r>
          <w:rPr>
            <w:color w:val="8A8B8C"/>
            <w:sz w:val="20"/>
            <w:szCs w:val="20"/>
          </w:rPr>
          <w:tab/>
        </w:r>
        <w:r w:rsidR="00070005">
          <w:rPr>
            <w:color w:val="8A8B8C"/>
            <w:sz w:val="20"/>
            <w:szCs w:val="20"/>
          </w:rPr>
          <w:tab/>
        </w:r>
        <w:r w:rsidR="00393E4E" w:rsidRPr="00070005">
          <w:rPr>
            <w:rFonts w:ascii="Calibri" w:hAnsi="Calibri" w:cs="Calibri"/>
            <w:color w:val="8A8B8C"/>
            <w:sz w:val="20"/>
            <w:szCs w:val="20"/>
          </w:rPr>
          <w:fldChar w:fldCharType="begin"/>
        </w:r>
        <w:r w:rsidR="00393E4E" w:rsidRPr="00070005">
          <w:rPr>
            <w:rFonts w:ascii="Calibri" w:hAnsi="Calibri" w:cs="Calibri"/>
            <w:color w:val="8A8B8C"/>
            <w:sz w:val="20"/>
            <w:szCs w:val="20"/>
          </w:rPr>
          <w:instrText xml:space="preserve"> PAGE   \* MERGEFORMAT </w:instrText>
        </w:r>
        <w:r w:rsidR="00393E4E" w:rsidRPr="00070005">
          <w:rPr>
            <w:rFonts w:ascii="Calibri" w:hAnsi="Calibri" w:cs="Calibri"/>
            <w:color w:val="8A8B8C"/>
            <w:sz w:val="20"/>
            <w:szCs w:val="20"/>
          </w:rPr>
          <w:fldChar w:fldCharType="separate"/>
        </w:r>
        <w:r w:rsidR="00393E4E" w:rsidRPr="00070005">
          <w:rPr>
            <w:rFonts w:ascii="Calibri" w:hAnsi="Calibri" w:cs="Calibri"/>
            <w:noProof/>
            <w:color w:val="8A8B8C"/>
            <w:sz w:val="20"/>
            <w:szCs w:val="20"/>
          </w:rPr>
          <w:t>2</w:t>
        </w:r>
        <w:r w:rsidR="00393E4E" w:rsidRPr="00070005">
          <w:rPr>
            <w:rFonts w:ascii="Calibri" w:hAnsi="Calibri" w:cs="Calibri"/>
            <w:noProof/>
            <w:color w:val="8A8B8C"/>
            <w:sz w:val="20"/>
            <w:szCs w:val="20"/>
          </w:rPr>
          <w:fldChar w:fldCharType="end"/>
        </w:r>
      </w:p>
    </w:sdtContent>
  </w:sdt>
  <w:p w14:paraId="1758469D" w14:textId="77777777" w:rsidR="00393E4E" w:rsidRPr="00070005" w:rsidRDefault="00393E4E">
    <w:pPr>
      <w:pStyle w:val="Footer"/>
      <w:rPr>
        <w:color w:val="8A8B8C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EEB" w14:textId="0F348480" w:rsidR="00393E4E" w:rsidRPr="00CB7C45" w:rsidRDefault="00393E4E" w:rsidP="0058796E">
    <w:pPr>
      <w:pStyle w:val="Footer"/>
      <w:jc w:val="right"/>
      <w:rPr>
        <w:rFonts w:ascii="Times New Roman" w:hAnsi="Times New Roman" w:cs="Times New Roman"/>
        <w:color w:val="8A8B8C"/>
        <w:sz w:val="20"/>
        <w:szCs w:val="20"/>
      </w:rPr>
    </w:pPr>
  </w:p>
  <w:p w14:paraId="20CE11C0" w14:textId="77777777" w:rsidR="00393E4E" w:rsidRDefault="00393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57CDF" w14:textId="77777777" w:rsidR="004E0AFD" w:rsidRDefault="004E0AFD" w:rsidP="007B033C">
      <w:pPr>
        <w:spacing w:after="0" w:line="240" w:lineRule="auto"/>
      </w:pPr>
      <w:r>
        <w:separator/>
      </w:r>
    </w:p>
  </w:footnote>
  <w:footnote w:type="continuationSeparator" w:id="0">
    <w:p w14:paraId="3C330D63" w14:textId="77777777" w:rsidR="004E0AFD" w:rsidRDefault="004E0AFD" w:rsidP="007B033C">
      <w:pPr>
        <w:spacing w:after="0" w:line="240" w:lineRule="auto"/>
      </w:pPr>
      <w:r>
        <w:continuationSeparator/>
      </w:r>
    </w:p>
  </w:footnote>
  <w:footnote w:type="continuationNotice" w:id="1">
    <w:p w14:paraId="348F9ECA" w14:textId="77777777" w:rsidR="004E0AFD" w:rsidRDefault="004E0A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80BB" w14:textId="77777777" w:rsidR="004B08FB" w:rsidRDefault="004B08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40EF7" w14:textId="652ED6A5" w:rsidR="00494574" w:rsidRDefault="00494574">
    <w:pPr>
      <w:pStyle w:val="Header"/>
    </w:pPr>
  </w:p>
  <w:p w14:paraId="50ED6BA1" w14:textId="3F46EAB6" w:rsidR="00494574" w:rsidRDefault="00494574">
    <w:pPr>
      <w:pStyle w:val="Header"/>
    </w:pPr>
  </w:p>
  <w:p w14:paraId="1EA71F30" w14:textId="1354AAB7" w:rsidR="00494574" w:rsidRDefault="00494574" w:rsidP="004945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70F5" w14:textId="0DB9C2FE" w:rsidR="00393E4E" w:rsidRPr="004B08FB" w:rsidRDefault="0058796E" w:rsidP="004B08FB">
    <w:pPr>
      <w:pStyle w:val="Header"/>
      <w:jc w:val="right"/>
      <w:rPr>
        <w:rFonts w:ascii="AvenirNext LT Pro Regular" w:hAnsi="AvenirNext LT Pro Regular"/>
        <w:b/>
        <w:bCs/>
        <w:sz w:val="20"/>
        <w:szCs w:val="20"/>
      </w:rPr>
    </w:pPr>
    <w:r w:rsidRPr="004B08FB">
      <w:rPr>
        <w:rFonts w:ascii="AvenirNext LT Pro Regular" w:hAnsi="AvenirNext LT Pro Regular"/>
        <w:b/>
        <w:bCs/>
        <w:noProof/>
        <w:sz w:val="20"/>
        <w:szCs w:val="20"/>
      </w:rPr>
      <w:drawing>
        <wp:anchor distT="0" distB="301625" distL="0" distR="0" simplePos="0" relativeHeight="251658240" behindDoc="1" locked="1" layoutInCell="1" allowOverlap="0" wp14:anchorId="276F2217" wp14:editId="403CDC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858768" cy="1024128"/>
          <wp:effectExtent l="0" t="0" r="2540" b="5080"/>
          <wp:wrapTopAndBottom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8768" cy="10241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08FB" w:rsidRPr="004B08FB">
      <w:rPr>
        <w:rFonts w:ascii="AvenirNext LT Pro Regular" w:hAnsi="AvenirNext LT Pro Regular"/>
        <w:b/>
        <w:bCs/>
        <w:sz w:val="20"/>
        <w:szCs w:val="20"/>
      </w:rPr>
      <w:t>Attachment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E1B3C"/>
    <w:multiLevelType w:val="hybridMultilevel"/>
    <w:tmpl w:val="01FCA0D2"/>
    <w:lvl w:ilvl="0" w:tplc="21D0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2255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20E2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B46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DA2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5C93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49F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CDB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E4C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CA3567"/>
    <w:multiLevelType w:val="multilevel"/>
    <w:tmpl w:val="F02A10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102"/>
    <w:multiLevelType w:val="hybridMultilevel"/>
    <w:tmpl w:val="9370D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53A97"/>
    <w:multiLevelType w:val="hybridMultilevel"/>
    <w:tmpl w:val="F02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C1D23"/>
    <w:multiLevelType w:val="hybridMultilevel"/>
    <w:tmpl w:val="197296F4"/>
    <w:lvl w:ilvl="0" w:tplc="7C2C00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66A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459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2A0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E7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941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94A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3CD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76D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9E66F"/>
    <w:multiLevelType w:val="hybridMultilevel"/>
    <w:tmpl w:val="F3BC106F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782B2D"/>
    <w:multiLevelType w:val="hybridMultilevel"/>
    <w:tmpl w:val="29423FAE"/>
    <w:lvl w:ilvl="0" w:tplc="671CFC4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283DE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CC30E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626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2F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AFB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4E0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EFB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1CA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124373"/>
    <w:multiLevelType w:val="hybridMultilevel"/>
    <w:tmpl w:val="BE6496D8"/>
    <w:lvl w:ilvl="0" w:tplc="4AF650D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86BA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0A4B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5CC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CEF0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7A81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A83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47A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03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EF2AD3"/>
    <w:multiLevelType w:val="hybridMultilevel"/>
    <w:tmpl w:val="2ADC8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471AD"/>
    <w:multiLevelType w:val="hybridMultilevel"/>
    <w:tmpl w:val="7EA27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A03D0"/>
    <w:multiLevelType w:val="hybridMultilevel"/>
    <w:tmpl w:val="D7149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472"/>
    <w:multiLevelType w:val="hybridMultilevel"/>
    <w:tmpl w:val="86247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00F97"/>
    <w:multiLevelType w:val="hybridMultilevel"/>
    <w:tmpl w:val="AEDCADD2"/>
    <w:lvl w:ilvl="0" w:tplc="AD0A0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E2636"/>
    <w:multiLevelType w:val="hybridMultilevel"/>
    <w:tmpl w:val="5DA88932"/>
    <w:lvl w:ilvl="0" w:tplc="C0D073E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C44C1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94DAB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56B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38E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8442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E05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0091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0037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4499">
    <w:abstractNumId w:val="5"/>
  </w:num>
  <w:num w:numId="2" w16cid:durableId="1811433410">
    <w:abstractNumId w:val="0"/>
  </w:num>
  <w:num w:numId="3" w16cid:durableId="1529561440">
    <w:abstractNumId w:val="7"/>
  </w:num>
  <w:num w:numId="4" w16cid:durableId="2015110140">
    <w:abstractNumId w:val="4"/>
  </w:num>
  <w:num w:numId="5" w16cid:durableId="1900285137">
    <w:abstractNumId w:val="6"/>
  </w:num>
  <w:num w:numId="6" w16cid:durableId="1902206094">
    <w:abstractNumId w:val="13"/>
  </w:num>
  <w:num w:numId="7" w16cid:durableId="793911731">
    <w:abstractNumId w:val="3"/>
  </w:num>
  <w:num w:numId="8" w16cid:durableId="1850296163">
    <w:abstractNumId w:val="1"/>
  </w:num>
  <w:num w:numId="9" w16cid:durableId="1438603564">
    <w:abstractNumId w:val="12"/>
  </w:num>
  <w:num w:numId="10" w16cid:durableId="1957785394">
    <w:abstractNumId w:val="2"/>
  </w:num>
  <w:num w:numId="11" w16cid:durableId="1805006202">
    <w:abstractNumId w:val="9"/>
  </w:num>
  <w:num w:numId="12" w16cid:durableId="1575236685">
    <w:abstractNumId w:val="8"/>
  </w:num>
  <w:num w:numId="13" w16cid:durableId="2122072467">
    <w:abstractNumId w:val="11"/>
  </w:num>
  <w:num w:numId="14" w16cid:durableId="13354983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4B"/>
    <w:rsid w:val="00003555"/>
    <w:rsid w:val="00010B1C"/>
    <w:rsid w:val="00014687"/>
    <w:rsid w:val="00021843"/>
    <w:rsid w:val="00027727"/>
    <w:rsid w:val="000336DF"/>
    <w:rsid w:val="00035439"/>
    <w:rsid w:val="00035F6F"/>
    <w:rsid w:val="00036E76"/>
    <w:rsid w:val="0003708E"/>
    <w:rsid w:val="00053A56"/>
    <w:rsid w:val="0006224C"/>
    <w:rsid w:val="00070005"/>
    <w:rsid w:val="00080F66"/>
    <w:rsid w:val="0009430C"/>
    <w:rsid w:val="000A1957"/>
    <w:rsid w:val="000A266C"/>
    <w:rsid w:val="000D76E2"/>
    <w:rsid w:val="00101E44"/>
    <w:rsid w:val="00101F04"/>
    <w:rsid w:val="00117918"/>
    <w:rsid w:val="00121B69"/>
    <w:rsid w:val="0012302F"/>
    <w:rsid w:val="00124559"/>
    <w:rsid w:val="0012752F"/>
    <w:rsid w:val="00131E60"/>
    <w:rsid w:val="00154318"/>
    <w:rsid w:val="001638D9"/>
    <w:rsid w:val="001829E8"/>
    <w:rsid w:val="0019350B"/>
    <w:rsid w:val="001B2106"/>
    <w:rsid w:val="001B2AD4"/>
    <w:rsid w:val="001B5933"/>
    <w:rsid w:val="001B7630"/>
    <w:rsid w:val="001C21B6"/>
    <w:rsid w:val="001D1573"/>
    <w:rsid w:val="001D42B2"/>
    <w:rsid w:val="001F10B1"/>
    <w:rsid w:val="001F7821"/>
    <w:rsid w:val="00213060"/>
    <w:rsid w:val="00213194"/>
    <w:rsid w:val="0022465A"/>
    <w:rsid w:val="002264C5"/>
    <w:rsid w:val="0022783C"/>
    <w:rsid w:val="002515C7"/>
    <w:rsid w:val="00254829"/>
    <w:rsid w:val="002558E2"/>
    <w:rsid w:val="002711B3"/>
    <w:rsid w:val="002770E0"/>
    <w:rsid w:val="00280464"/>
    <w:rsid w:val="002822E6"/>
    <w:rsid w:val="002915ED"/>
    <w:rsid w:val="00296D57"/>
    <w:rsid w:val="002B06C5"/>
    <w:rsid w:val="002B2F6F"/>
    <w:rsid w:val="002C1E86"/>
    <w:rsid w:val="002C29E0"/>
    <w:rsid w:val="002F1062"/>
    <w:rsid w:val="002F1273"/>
    <w:rsid w:val="002F701A"/>
    <w:rsid w:val="0030450D"/>
    <w:rsid w:val="003051AF"/>
    <w:rsid w:val="00316CD4"/>
    <w:rsid w:val="003264C1"/>
    <w:rsid w:val="00335B42"/>
    <w:rsid w:val="00345CAE"/>
    <w:rsid w:val="00354222"/>
    <w:rsid w:val="0036056A"/>
    <w:rsid w:val="00361EEF"/>
    <w:rsid w:val="00370879"/>
    <w:rsid w:val="00393E4E"/>
    <w:rsid w:val="003955B0"/>
    <w:rsid w:val="003B0DAB"/>
    <w:rsid w:val="003B3E07"/>
    <w:rsid w:val="003B4222"/>
    <w:rsid w:val="003C16A4"/>
    <w:rsid w:val="003C6EA1"/>
    <w:rsid w:val="003D1BA0"/>
    <w:rsid w:val="003E0F8F"/>
    <w:rsid w:val="003E437A"/>
    <w:rsid w:val="003F03A5"/>
    <w:rsid w:val="004009A2"/>
    <w:rsid w:val="00403838"/>
    <w:rsid w:val="00406699"/>
    <w:rsid w:val="00411E19"/>
    <w:rsid w:val="00421683"/>
    <w:rsid w:val="00443807"/>
    <w:rsid w:val="00470B90"/>
    <w:rsid w:val="00472A46"/>
    <w:rsid w:val="00480759"/>
    <w:rsid w:val="00484F55"/>
    <w:rsid w:val="0048531A"/>
    <w:rsid w:val="0048677A"/>
    <w:rsid w:val="00494574"/>
    <w:rsid w:val="004A62BE"/>
    <w:rsid w:val="004B08FB"/>
    <w:rsid w:val="004B0A12"/>
    <w:rsid w:val="004C720C"/>
    <w:rsid w:val="004D27A9"/>
    <w:rsid w:val="004E0845"/>
    <w:rsid w:val="004E0AFD"/>
    <w:rsid w:val="004E6664"/>
    <w:rsid w:val="004E6EC2"/>
    <w:rsid w:val="005129F3"/>
    <w:rsid w:val="00520450"/>
    <w:rsid w:val="00521767"/>
    <w:rsid w:val="005357B1"/>
    <w:rsid w:val="00547ADE"/>
    <w:rsid w:val="00552043"/>
    <w:rsid w:val="0055552B"/>
    <w:rsid w:val="0055649C"/>
    <w:rsid w:val="005566B4"/>
    <w:rsid w:val="00562FAA"/>
    <w:rsid w:val="00564EE5"/>
    <w:rsid w:val="005703E4"/>
    <w:rsid w:val="0057575E"/>
    <w:rsid w:val="00576B43"/>
    <w:rsid w:val="0058796E"/>
    <w:rsid w:val="0059145D"/>
    <w:rsid w:val="00592BD8"/>
    <w:rsid w:val="005A7A3C"/>
    <w:rsid w:val="005B2524"/>
    <w:rsid w:val="005D579F"/>
    <w:rsid w:val="005F10E5"/>
    <w:rsid w:val="00615430"/>
    <w:rsid w:val="00617A35"/>
    <w:rsid w:val="00621822"/>
    <w:rsid w:val="00622473"/>
    <w:rsid w:val="006601E3"/>
    <w:rsid w:val="0066192E"/>
    <w:rsid w:val="00670E30"/>
    <w:rsid w:val="00686005"/>
    <w:rsid w:val="00687E96"/>
    <w:rsid w:val="0069117B"/>
    <w:rsid w:val="006B35F9"/>
    <w:rsid w:val="006B58C2"/>
    <w:rsid w:val="006C1D0E"/>
    <w:rsid w:val="006C1F92"/>
    <w:rsid w:val="006D2958"/>
    <w:rsid w:val="006D780F"/>
    <w:rsid w:val="006F0177"/>
    <w:rsid w:val="006F5735"/>
    <w:rsid w:val="00706F90"/>
    <w:rsid w:val="00711B08"/>
    <w:rsid w:val="00717CA4"/>
    <w:rsid w:val="007203B8"/>
    <w:rsid w:val="0072308C"/>
    <w:rsid w:val="007322A9"/>
    <w:rsid w:val="00734322"/>
    <w:rsid w:val="00742074"/>
    <w:rsid w:val="00744E52"/>
    <w:rsid w:val="00751F4A"/>
    <w:rsid w:val="00755FA5"/>
    <w:rsid w:val="00761292"/>
    <w:rsid w:val="0076519A"/>
    <w:rsid w:val="00772A4E"/>
    <w:rsid w:val="007810A7"/>
    <w:rsid w:val="00781142"/>
    <w:rsid w:val="00791DD0"/>
    <w:rsid w:val="00792E2F"/>
    <w:rsid w:val="007937AB"/>
    <w:rsid w:val="007A49EB"/>
    <w:rsid w:val="007A5591"/>
    <w:rsid w:val="007A7F2F"/>
    <w:rsid w:val="007B033C"/>
    <w:rsid w:val="007B07CF"/>
    <w:rsid w:val="007B3B31"/>
    <w:rsid w:val="007C18F6"/>
    <w:rsid w:val="007D2DEB"/>
    <w:rsid w:val="007E2A2C"/>
    <w:rsid w:val="007E2F04"/>
    <w:rsid w:val="00800C8D"/>
    <w:rsid w:val="0080204B"/>
    <w:rsid w:val="00810946"/>
    <w:rsid w:val="00835539"/>
    <w:rsid w:val="0084212A"/>
    <w:rsid w:val="00851B2E"/>
    <w:rsid w:val="00866005"/>
    <w:rsid w:val="0087642E"/>
    <w:rsid w:val="00885139"/>
    <w:rsid w:val="00894134"/>
    <w:rsid w:val="008A1702"/>
    <w:rsid w:val="008B4EFC"/>
    <w:rsid w:val="008E7852"/>
    <w:rsid w:val="008F3144"/>
    <w:rsid w:val="00906995"/>
    <w:rsid w:val="009135C2"/>
    <w:rsid w:val="0091601F"/>
    <w:rsid w:val="009225BA"/>
    <w:rsid w:val="00923D29"/>
    <w:rsid w:val="0093723D"/>
    <w:rsid w:val="00942523"/>
    <w:rsid w:val="00957BBB"/>
    <w:rsid w:val="009639CD"/>
    <w:rsid w:val="009727F8"/>
    <w:rsid w:val="00981B54"/>
    <w:rsid w:val="009852DA"/>
    <w:rsid w:val="009A02CC"/>
    <w:rsid w:val="009A3412"/>
    <w:rsid w:val="009A7148"/>
    <w:rsid w:val="009A7D4A"/>
    <w:rsid w:val="009A7FF4"/>
    <w:rsid w:val="009B673D"/>
    <w:rsid w:val="009C425B"/>
    <w:rsid w:val="009E5D89"/>
    <w:rsid w:val="009F6B4D"/>
    <w:rsid w:val="009F7C1D"/>
    <w:rsid w:val="00A12AA5"/>
    <w:rsid w:val="00A1676D"/>
    <w:rsid w:val="00A363B2"/>
    <w:rsid w:val="00A560B3"/>
    <w:rsid w:val="00A70148"/>
    <w:rsid w:val="00A779B0"/>
    <w:rsid w:val="00A801A3"/>
    <w:rsid w:val="00A84976"/>
    <w:rsid w:val="00A86759"/>
    <w:rsid w:val="00AB3DB5"/>
    <w:rsid w:val="00AB60A4"/>
    <w:rsid w:val="00AC0FC3"/>
    <w:rsid w:val="00AC7BA2"/>
    <w:rsid w:val="00AD24CF"/>
    <w:rsid w:val="00AD517C"/>
    <w:rsid w:val="00AF0D4E"/>
    <w:rsid w:val="00B023DC"/>
    <w:rsid w:val="00B035DE"/>
    <w:rsid w:val="00B0758F"/>
    <w:rsid w:val="00B123B0"/>
    <w:rsid w:val="00B41B3C"/>
    <w:rsid w:val="00B44517"/>
    <w:rsid w:val="00B51503"/>
    <w:rsid w:val="00B551D4"/>
    <w:rsid w:val="00B63DAC"/>
    <w:rsid w:val="00B64CB5"/>
    <w:rsid w:val="00B72D72"/>
    <w:rsid w:val="00B81C3E"/>
    <w:rsid w:val="00B8472C"/>
    <w:rsid w:val="00B9315C"/>
    <w:rsid w:val="00B964A9"/>
    <w:rsid w:val="00BA23CF"/>
    <w:rsid w:val="00BA3ACA"/>
    <w:rsid w:val="00BB7FE3"/>
    <w:rsid w:val="00BF48A8"/>
    <w:rsid w:val="00C13164"/>
    <w:rsid w:val="00C243A0"/>
    <w:rsid w:val="00C24A1F"/>
    <w:rsid w:val="00C44434"/>
    <w:rsid w:val="00C44F03"/>
    <w:rsid w:val="00C5246A"/>
    <w:rsid w:val="00C70C74"/>
    <w:rsid w:val="00C7326D"/>
    <w:rsid w:val="00C735BA"/>
    <w:rsid w:val="00CA12B1"/>
    <w:rsid w:val="00CB273F"/>
    <w:rsid w:val="00CB6AD2"/>
    <w:rsid w:val="00CB7C45"/>
    <w:rsid w:val="00CC46EA"/>
    <w:rsid w:val="00CC62BA"/>
    <w:rsid w:val="00CD07DF"/>
    <w:rsid w:val="00CF03E2"/>
    <w:rsid w:val="00CF67EB"/>
    <w:rsid w:val="00D01CC0"/>
    <w:rsid w:val="00D0369C"/>
    <w:rsid w:val="00D10F19"/>
    <w:rsid w:val="00D12BE9"/>
    <w:rsid w:val="00D1586F"/>
    <w:rsid w:val="00D16B73"/>
    <w:rsid w:val="00D35EF0"/>
    <w:rsid w:val="00D41A7B"/>
    <w:rsid w:val="00D665E4"/>
    <w:rsid w:val="00D73EE9"/>
    <w:rsid w:val="00D86079"/>
    <w:rsid w:val="00D86C1C"/>
    <w:rsid w:val="00D97EEF"/>
    <w:rsid w:val="00DB0A98"/>
    <w:rsid w:val="00DB328F"/>
    <w:rsid w:val="00DD1999"/>
    <w:rsid w:val="00DE4C7C"/>
    <w:rsid w:val="00DE7D8A"/>
    <w:rsid w:val="00DF3EA2"/>
    <w:rsid w:val="00DF44AA"/>
    <w:rsid w:val="00DF5F21"/>
    <w:rsid w:val="00E00C6E"/>
    <w:rsid w:val="00E03854"/>
    <w:rsid w:val="00E10337"/>
    <w:rsid w:val="00E10A7B"/>
    <w:rsid w:val="00E26D76"/>
    <w:rsid w:val="00E40176"/>
    <w:rsid w:val="00E427B5"/>
    <w:rsid w:val="00E465AD"/>
    <w:rsid w:val="00E46F2C"/>
    <w:rsid w:val="00E47AA2"/>
    <w:rsid w:val="00E528E7"/>
    <w:rsid w:val="00E60427"/>
    <w:rsid w:val="00E75EE3"/>
    <w:rsid w:val="00E91586"/>
    <w:rsid w:val="00E945DD"/>
    <w:rsid w:val="00E97234"/>
    <w:rsid w:val="00EA2EBD"/>
    <w:rsid w:val="00EB063F"/>
    <w:rsid w:val="00EB0AAF"/>
    <w:rsid w:val="00EB2DC8"/>
    <w:rsid w:val="00EB615C"/>
    <w:rsid w:val="00EE05A5"/>
    <w:rsid w:val="00EE4BAA"/>
    <w:rsid w:val="00EE6100"/>
    <w:rsid w:val="00EF14C2"/>
    <w:rsid w:val="00F03CC8"/>
    <w:rsid w:val="00F2351E"/>
    <w:rsid w:val="00F355D5"/>
    <w:rsid w:val="00F44B8B"/>
    <w:rsid w:val="00F47A11"/>
    <w:rsid w:val="00F526A0"/>
    <w:rsid w:val="00F71D6D"/>
    <w:rsid w:val="00FA0C92"/>
    <w:rsid w:val="00FB7355"/>
    <w:rsid w:val="00FB75BC"/>
    <w:rsid w:val="00FD439B"/>
    <w:rsid w:val="00FF3554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3344C"/>
  <w15:chartTrackingRefBased/>
  <w15:docId w15:val="{2C08AD1D-45C9-4579-A11B-24BA252C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33C"/>
  </w:style>
  <w:style w:type="paragraph" w:styleId="Footer">
    <w:name w:val="footer"/>
    <w:basedOn w:val="Normal"/>
    <w:link w:val="FooterChar"/>
    <w:uiPriority w:val="99"/>
    <w:unhideWhenUsed/>
    <w:rsid w:val="007B03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33C"/>
  </w:style>
  <w:style w:type="paragraph" w:customStyle="1" w:styleId="Default">
    <w:name w:val="Default"/>
    <w:rsid w:val="00C73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4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51B2E"/>
    <w:rPr>
      <w:i/>
      <w:iCs/>
    </w:rPr>
  </w:style>
  <w:style w:type="character" w:styleId="Hyperlink">
    <w:name w:val="Hyperlink"/>
    <w:basedOn w:val="DefaultParagraphFont"/>
    <w:uiPriority w:val="99"/>
    <w:unhideWhenUsed/>
    <w:rsid w:val="00851B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4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16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16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16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16A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51F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D8607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LightShading-Accent1">
    <w:name w:val="Light Shading Accent 1"/>
    <w:basedOn w:val="TableNormal"/>
    <w:uiPriority w:val="60"/>
    <w:rsid w:val="00117918"/>
    <w:pPr>
      <w:spacing w:after="0" w:line="240" w:lineRule="auto"/>
    </w:pPr>
    <w:rPr>
      <w:rFonts w:eastAsiaTheme="minorEastAsia"/>
      <w:color w:val="365F91" w:themeColor="accent1" w:themeShade="BF"/>
      <w:lang w:eastAsia="zh-CN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Revision">
    <w:name w:val="Revision"/>
    <w:hidden/>
    <w:uiPriority w:val="99"/>
    <w:semiHidden/>
    <w:rsid w:val="00FA0C9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16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3726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42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3008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2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18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52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3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600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626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42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49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40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249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content.naic.org/pbr_data.ht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4.xml><?xml version="1.0" encoding="utf-8"?>
<TemplafyTemplateConfiguration><![CDATA[{"elementsMetadata":[],"transformationConfigurations":[],"isBaseTemplate":false,"enableDocumentContentUpdater":false,"version":"2.0"}]]></TemplafyTemplateConfiguration>
</file>

<file path=customXml/item5.xml><?xml version="1.0" encoding="utf-8"?>
<TemplafyFormConfiguration><![CDATA[{"formFields":[],"formDataEntries":[]}]]></TemplafyFormConfiguratio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A28858-FEFC-4155-8947-B95E09FB10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808A6-0C9D-47BB-8AFC-FBB429F9D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A942E-A2F5-4F34-9DC5-6180EF966D54}">
  <ds:schemaRefs>
    <ds:schemaRef ds:uri="dbd46520-c392-41b5-9f68-fe7486eefad7"/>
    <ds:schemaRef ds:uri="http://purl.org/dc/elements/1.1/"/>
    <ds:schemaRef ds:uri="826143e3-bbcb-45bb-8829-107013e701e5"/>
    <ds:schemaRef ds:uri="3c9e15a3-223f-4584-afb1-1dbe0b3878fa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66331CD-B1A5-4B41-865D-672690EA79BF}">
  <ds:schemaRefs/>
</ds:datastoreItem>
</file>

<file path=customXml/itemProps5.xml><?xml version="1.0" encoding="utf-8"?>
<ds:datastoreItem xmlns:ds="http://schemas.openxmlformats.org/officeDocument/2006/customXml" ds:itemID="{5CF8F1D2-0953-4AF3-86E6-7E2F0393B36D}">
  <ds:schemaRefs/>
</ds:datastoreItem>
</file>

<file path=customXml/itemProps6.xml><?xml version="1.0" encoding="utf-8"?>
<ds:datastoreItem xmlns:ds="http://schemas.openxmlformats.org/officeDocument/2006/customXml" ds:itemID="{69E48927-6A44-4135-A152-29084DA23F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MANTAINING SOLVENT MARKETS THROUGH COVID</vt:lpstr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LATF_SAP_Coordination_Memo</dc:title>
  <dc:subject/>
  <dc:creator>Scott O'Neal</dc:creator>
  <cp:keywords/>
  <dc:description/>
  <cp:lastModifiedBy>Oden, Wil</cp:lastModifiedBy>
  <cp:revision>78</cp:revision>
  <cp:lastPrinted>2020-03-11T17:37:00Z</cp:lastPrinted>
  <dcterms:created xsi:type="dcterms:W3CDTF">2023-11-13T20:49:00Z</dcterms:created>
  <dcterms:modified xsi:type="dcterms:W3CDTF">2025-07-24T20:08:00Z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</Properties>
</file>